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C251" w14:textId="27E76B19" w:rsidR="00D074F0" w:rsidRPr="00C90D34" w:rsidRDefault="00E0719D" w:rsidP="00E0719D">
      <w:pPr>
        <w:jc w:val="center"/>
        <w:rPr>
          <w:lang w:val="en-CA"/>
        </w:rPr>
      </w:pPr>
      <w:r w:rsidRPr="00C90D34">
        <w:rPr>
          <w:noProof/>
          <w:lang w:val="en-CA" w:eastAsia="en-CA"/>
        </w:rPr>
        <w:drawing>
          <wp:inline distT="0" distB="0" distL="0" distR="0" wp14:anchorId="08E96422" wp14:editId="7CB32B10">
            <wp:extent cx="3453685" cy="1335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LIT-logo-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869" cy="1345862"/>
                    </a:xfrm>
                    <a:prstGeom prst="rect">
                      <a:avLst/>
                    </a:prstGeom>
                  </pic:spPr>
                </pic:pic>
              </a:graphicData>
            </a:graphic>
          </wp:inline>
        </w:drawing>
      </w:r>
    </w:p>
    <w:p w14:paraId="79147D2E" w14:textId="77777777" w:rsidR="00E0719D" w:rsidRPr="00C90D34" w:rsidRDefault="00E0719D" w:rsidP="00E0719D">
      <w:pPr>
        <w:rPr>
          <w:lang w:val="en-CA"/>
        </w:rPr>
      </w:pPr>
    </w:p>
    <w:p w14:paraId="22135329" w14:textId="77777777" w:rsidR="00E0719D" w:rsidRPr="00C90D34" w:rsidRDefault="00E0719D" w:rsidP="00E0719D">
      <w:pPr>
        <w:rPr>
          <w:lang w:val="en-CA"/>
        </w:rPr>
      </w:pPr>
    </w:p>
    <w:p w14:paraId="0E170BF6" w14:textId="48B2B69F" w:rsidR="00875F10" w:rsidRDefault="00875F10" w:rsidP="00875F10">
      <w:pPr>
        <w:pStyle w:val="Title"/>
        <w:jc w:val="center"/>
        <w:rPr>
          <w:sz w:val="36"/>
          <w:lang w:val="en-CA"/>
        </w:rPr>
      </w:pPr>
      <w:r>
        <w:rPr>
          <w:sz w:val="36"/>
          <w:lang w:val="en-CA"/>
        </w:rPr>
        <w:t>Joe Debtor 2018</w:t>
      </w:r>
    </w:p>
    <w:p w14:paraId="7F1245F5" w14:textId="77777777" w:rsidR="00357888" w:rsidRDefault="00357888" w:rsidP="00357888">
      <w:pPr>
        <w:jc w:val="center"/>
        <w:rPr>
          <w:lang w:val="en-CA"/>
        </w:rPr>
      </w:pPr>
    </w:p>
    <w:p w14:paraId="0DBDC762" w14:textId="38C7F2BC" w:rsidR="00D074F0" w:rsidRPr="00C90D34" w:rsidRDefault="00357888" w:rsidP="00502A2F">
      <w:pPr>
        <w:pStyle w:val="Title"/>
        <w:jc w:val="center"/>
        <w:rPr>
          <w:lang w:val="en-CA"/>
        </w:rPr>
        <w:sectPr w:rsidR="00D074F0" w:rsidRPr="00C90D34" w:rsidSect="00D074F0">
          <w:footerReference w:type="default" r:id="rId9"/>
          <w:pgSz w:w="12240" w:h="15840" w:code="1"/>
          <w:pgMar w:top="1440" w:right="1588" w:bottom="1440" w:left="1588" w:header="709" w:footer="709" w:gutter="0"/>
          <w:cols w:space="708"/>
          <w:titlePg/>
          <w:docGrid w:linePitch="360"/>
        </w:sectPr>
      </w:pPr>
      <w:r>
        <w:rPr>
          <w:lang w:val="en-CA"/>
        </w:rPr>
        <w:t xml:space="preserve">No Room to </w:t>
      </w:r>
      <w:r w:rsidR="00FE40C4">
        <w:rPr>
          <w:lang w:val="en-CA"/>
        </w:rPr>
        <w:t>Maneuver</w:t>
      </w:r>
      <w:r w:rsidR="00E0719D" w:rsidRPr="00C90D34">
        <w:rPr>
          <w:lang w:val="en-CA"/>
        </w:rPr>
        <w:br w:type="page"/>
      </w:r>
    </w:p>
    <w:p w14:paraId="67872A94" w14:textId="77777777" w:rsidR="001319D4" w:rsidRPr="001319D4" w:rsidRDefault="001319D4" w:rsidP="001319D4">
      <w:bookmarkStart w:id="0" w:name="_Toc478334213"/>
      <w:r w:rsidRPr="001319D4">
        <w:lastRenderedPageBreak/>
        <w:t>Hoyes, Michalos &amp; Associates Inc. is one of Canada’s largest personal insolvency firms, focused solely on helping individuals restructure their debt through personal bankruptcy or a consumer proposal.</w:t>
      </w:r>
    </w:p>
    <w:p w14:paraId="47796B19" w14:textId="77777777" w:rsidR="001319D4" w:rsidRPr="001319D4" w:rsidRDefault="001319D4" w:rsidP="001319D4">
      <w:r w:rsidRPr="001319D4">
        <w:t>As required by law, we gather a significant amount of information about each person who files with us. We examine this data to develop a profile of the average person who files for relief from their debt (we call this person “Joe Debtor”). We use this information to gain insight and knowledge as to why consumer insolvencies occur. Our 2018 study, now updated annually, reviewed the details of more than 4,200 personal insolvencies in Ontario from January 1, 2018, to December 31, 2018 and compared the results of this profile with study results conducted since 2011 to identify any trends.</w:t>
      </w:r>
    </w:p>
    <w:p w14:paraId="180E772D" w14:textId="77777777" w:rsidR="001319D4" w:rsidRPr="001319D4" w:rsidRDefault="001319D4" w:rsidP="001319D4">
      <w:r w:rsidRPr="001319D4">
        <w:t>Our 2018 study is divided into two components:</w:t>
      </w:r>
    </w:p>
    <w:p w14:paraId="7DFEABB2" w14:textId="77777777" w:rsidR="001319D4" w:rsidRPr="001319D4" w:rsidRDefault="001319D4" w:rsidP="001319D4">
      <w:pPr>
        <w:pStyle w:val="ListParagraph"/>
        <w:numPr>
          <w:ilvl w:val="0"/>
          <w:numId w:val="16"/>
        </w:numPr>
      </w:pPr>
      <w:r w:rsidRPr="001319D4">
        <w:t>Key findings</w:t>
      </w:r>
    </w:p>
    <w:p w14:paraId="2E0DCE44" w14:textId="77777777" w:rsidR="001319D4" w:rsidRPr="001319D4" w:rsidRDefault="001319D4" w:rsidP="001319D4">
      <w:pPr>
        <w:pStyle w:val="ListParagraph"/>
        <w:numPr>
          <w:ilvl w:val="0"/>
          <w:numId w:val="16"/>
        </w:numPr>
      </w:pPr>
      <w:r w:rsidRPr="001319D4">
        <w:t>A profile of the average insolvent debtor</w:t>
      </w:r>
    </w:p>
    <w:p w14:paraId="642D714B" w14:textId="1217335F" w:rsidR="00497522" w:rsidRDefault="00497522" w:rsidP="00497522">
      <w:pPr>
        <w:rPr>
          <w:lang w:val="en-CA"/>
        </w:rPr>
      </w:pPr>
    </w:p>
    <w:p w14:paraId="65D9A9F5" w14:textId="3AB58E4E" w:rsidR="009957B3" w:rsidRPr="00C90D34" w:rsidRDefault="009957B3" w:rsidP="00D31447">
      <w:pPr>
        <w:pStyle w:val="Heading1"/>
        <w:spacing w:after="0"/>
      </w:pPr>
      <w:r>
        <w:t xml:space="preserve">Key Findings: No Room to Maneuver </w:t>
      </w:r>
    </w:p>
    <w:p w14:paraId="110E999C" w14:textId="4D883AF8" w:rsidR="00937C70" w:rsidRPr="00C90D34" w:rsidRDefault="00937C70" w:rsidP="00D31447">
      <w:pPr>
        <w:pStyle w:val="Heading2"/>
        <w:spacing w:before="0"/>
        <w:rPr>
          <w:lang w:val="en-CA"/>
        </w:rPr>
      </w:pPr>
      <w:r>
        <w:rPr>
          <w:lang w:val="en-CA"/>
        </w:rPr>
        <w:t xml:space="preserve">Millennials </w:t>
      </w:r>
      <w:r w:rsidR="00267C33">
        <w:rPr>
          <w:lang w:val="en-CA"/>
        </w:rPr>
        <w:t xml:space="preserve">Are </w:t>
      </w:r>
      <w:r w:rsidR="005E32A6">
        <w:rPr>
          <w:lang w:val="en-CA"/>
        </w:rPr>
        <w:t>the</w:t>
      </w:r>
      <w:r w:rsidR="00267C33">
        <w:rPr>
          <w:lang w:val="en-CA"/>
        </w:rPr>
        <w:t xml:space="preserve"> </w:t>
      </w:r>
      <w:r>
        <w:rPr>
          <w:lang w:val="en-CA"/>
        </w:rPr>
        <w:t>Fastest Growing Cohort Filing Insolvency</w:t>
      </w:r>
    </w:p>
    <w:p w14:paraId="2799058F" w14:textId="67AB1B67" w:rsidR="00937C70" w:rsidRDefault="001319D4" w:rsidP="00937C70">
      <w:pPr>
        <w:rPr>
          <w:noProof/>
          <w:lang w:val="en-CA" w:eastAsia="en-CA"/>
        </w:rPr>
      </w:pPr>
      <w:r w:rsidRPr="001319D4">
        <w:t>On average, Joe Debtor is 43 years old however it is Millennials1 who are filing insolvency at a much faster rate; faster than their entry into the workforce would seem to warrant.</w:t>
      </w:r>
    </w:p>
    <w:p w14:paraId="2A4735EE" w14:textId="484BBBE6" w:rsidR="001319D4" w:rsidRDefault="001319D4" w:rsidP="00937C70">
      <w:pPr>
        <w:rPr>
          <w:lang w:val="en-CA"/>
        </w:rPr>
      </w:pPr>
      <w:r>
        <w:rPr>
          <w:noProof/>
        </w:rPr>
        <w:drawing>
          <wp:inline distT="0" distB="0" distL="0" distR="0" wp14:anchorId="1C743276" wp14:editId="6AE4C561">
            <wp:extent cx="5755640" cy="3305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5640" cy="3305175"/>
                    </a:xfrm>
                    <a:prstGeom prst="rect">
                      <a:avLst/>
                    </a:prstGeom>
                  </pic:spPr>
                </pic:pic>
              </a:graphicData>
            </a:graphic>
          </wp:inline>
        </w:drawing>
      </w:r>
    </w:p>
    <w:p w14:paraId="19C216AA" w14:textId="6822C185" w:rsidR="00937C70" w:rsidRPr="00C90D34" w:rsidRDefault="00937C70" w:rsidP="00937C70">
      <w:pPr>
        <w:rPr>
          <w:lang w:val="en-CA"/>
        </w:rPr>
      </w:pPr>
      <w:r>
        <w:rPr>
          <w:lang w:val="en-CA"/>
        </w:rPr>
        <w:t>Source: Hoyes Michalos</w:t>
      </w:r>
    </w:p>
    <w:p w14:paraId="756A7B71" w14:textId="3C86428E" w:rsidR="00937C70" w:rsidRDefault="001319D4" w:rsidP="00826618">
      <w:pPr>
        <w:rPr>
          <w:noProof/>
          <w:lang w:val="en-CA" w:eastAsia="en-CA"/>
        </w:rPr>
      </w:pPr>
      <w:r w:rsidRPr="001319D4">
        <w:t>In 2011, when the youngest Millennial was 15, only 28% of the Canadian workforce2 was Millennials. By 2018, with Millennials now aged 22 to 37, their cohort accounted for 34% of the Canadian workforce, an increase of 22%.  During this same period, however, Millennials filing insolvency increased from 14% of insolvencies to 37% of insolvencies; an increase of 162%.</w:t>
      </w:r>
    </w:p>
    <w:p w14:paraId="05B40C71" w14:textId="6098795A" w:rsidR="001319D4" w:rsidRDefault="001319D4" w:rsidP="00826618">
      <w:r>
        <w:rPr>
          <w:noProof/>
        </w:rPr>
        <w:lastRenderedPageBreak/>
        <w:drawing>
          <wp:inline distT="0" distB="0" distL="0" distR="0" wp14:anchorId="547467EE" wp14:editId="0A73332B">
            <wp:extent cx="5755640" cy="3403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5640" cy="3403600"/>
                    </a:xfrm>
                    <a:prstGeom prst="rect">
                      <a:avLst/>
                    </a:prstGeom>
                  </pic:spPr>
                </pic:pic>
              </a:graphicData>
            </a:graphic>
          </wp:inline>
        </w:drawing>
      </w:r>
    </w:p>
    <w:p w14:paraId="550FF849" w14:textId="63BD9BF8" w:rsidR="00826618" w:rsidRDefault="00937C70" w:rsidP="00826618">
      <w:r>
        <w:t>Source: Hoyes Michalos, Statistics Canada</w:t>
      </w:r>
    </w:p>
    <w:p w14:paraId="55D18BAC" w14:textId="77777777" w:rsidR="001319D4" w:rsidRPr="001319D4" w:rsidRDefault="001319D4" w:rsidP="001319D4">
      <w:r w:rsidRPr="001319D4">
        <w:t>Today almost two in five (37%) insolvencies are filed by Millennials. Yes, Generation X still files more insolvencies (39%), but their share of insolvencies has been on the decline, while Millennial insolvencies are rising.</w:t>
      </w:r>
    </w:p>
    <w:p w14:paraId="62E83739" w14:textId="6EAFA0E7" w:rsidR="001319D4" w:rsidRDefault="001319D4" w:rsidP="001319D4">
      <w:r w:rsidRPr="001319D4">
        <w:t>On average, Millennial debtors owe $35,733 in unsecured debt when they file insolvency, the lowest debt level of all cohorts.  However, they face an assortment of debt risks, some specific to their generation.</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267C33" w:rsidRPr="00C90D34" w14:paraId="49C221BE" w14:textId="77777777" w:rsidTr="00267C33">
        <w:trPr>
          <w:jc w:val="center"/>
        </w:trPr>
        <w:tc>
          <w:tcPr>
            <w:tcW w:w="3110" w:type="dxa"/>
            <w:tcBorders>
              <w:top w:val="single" w:sz="8" w:space="0" w:color="6E9400"/>
              <w:left w:val="single" w:sz="8" w:space="0" w:color="6E9400"/>
              <w:bottom w:val="single" w:sz="8" w:space="0" w:color="6E9400"/>
            </w:tcBorders>
            <w:shd w:val="clear" w:color="auto" w:fill="6E9400"/>
          </w:tcPr>
          <w:p w14:paraId="22826EA9" w14:textId="57891FC9" w:rsidR="00267C33" w:rsidRPr="006037A4" w:rsidRDefault="007856F4" w:rsidP="00267C33">
            <w:pPr>
              <w:spacing w:after="0"/>
              <w:rPr>
                <w:b/>
                <w:bCs/>
                <w:color w:val="FFFFFF"/>
                <w:lang w:val="en-CA"/>
              </w:rPr>
            </w:pPr>
            <w:r>
              <w:rPr>
                <w:b/>
                <w:bCs/>
                <w:color w:val="FFFFFF"/>
                <w:lang w:val="en-CA"/>
              </w:rPr>
              <w:t>Millennials (aged 22-37)</w:t>
            </w:r>
          </w:p>
        </w:tc>
        <w:tc>
          <w:tcPr>
            <w:tcW w:w="2031" w:type="dxa"/>
            <w:tcBorders>
              <w:top w:val="single" w:sz="8" w:space="0" w:color="6E9400"/>
              <w:bottom w:val="single" w:sz="8" w:space="0" w:color="6E9400"/>
            </w:tcBorders>
            <w:shd w:val="clear" w:color="auto" w:fill="6E9400"/>
            <w:vAlign w:val="bottom"/>
          </w:tcPr>
          <w:p w14:paraId="00DC0F75" w14:textId="6951902A" w:rsidR="00267C33" w:rsidRPr="00C90D34" w:rsidRDefault="007856F4" w:rsidP="00267C33">
            <w:pPr>
              <w:spacing w:after="0"/>
              <w:jc w:val="center"/>
              <w:rPr>
                <w:b/>
                <w:bCs/>
                <w:color w:val="FFFFFF"/>
                <w:lang w:val="en-CA"/>
              </w:rPr>
            </w:pPr>
            <w:r>
              <w:rPr>
                <w:b/>
                <w:bCs/>
                <w:color w:val="FFFFFF"/>
                <w:lang w:val="en-CA"/>
              </w:rPr>
              <w:t>2016</w:t>
            </w:r>
          </w:p>
        </w:tc>
        <w:tc>
          <w:tcPr>
            <w:tcW w:w="2031" w:type="dxa"/>
            <w:tcBorders>
              <w:top w:val="single" w:sz="8" w:space="0" w:color="6E9400"/>
              <w:bottom w:val="single" w:sz="8" w:space="0" w:color="6E9400"/>
            </w:tcBorders>
            <w:shd w:val="clear" w:color="auto" w:fill="6E9400"/>
          </w:tcPr>
          <w:p w14:paraId="1549A89D" w14:textId="115AF32A" w:rsidR="00267C33" w:rsidRPr="00C90D34" w:rsidRDefault="007856F4" w:rsidP="00267C33">
            <w:pPr>
              <w:spacing w:after="0"/>
              <w:jc w:val="center"/>
              <w:rPr>
                <w:b/>
                <w:bCs/>
                <w:color w:val="FFFFFF"/>
                <w:lang w:val="en-CA"/>
              </w:rPr>
            </w:pPr>
            <w:r>
              <w:rPr>
                <w:b/>
                <w:bCs/>
                <w:color w:val="FFFFFF"/>
                <w:lang w:val="en-CA"/>
              </w:rPr>
              <w:t>2017</w:t>
            </w:r>
          </w:p>
        </w:tc>
        <w:tc>
          <w:tcPr>
            <w:tcW w:w="2032" w:type="dxa"/>
            <w:tcBorders>
              <w:top w:val="single" w:sz="8" w:space="0" w:color="6E9400"/>
              <w:bottom w:val="single" w:sz="8" w:space="0" w:color="6E9400"/>
              <w:right w:val="single" w:sz="8" w:space="0" w:color="6E9400"/>
            </w:tcBorders>
            <w:shd w:val="clear" w:color="auto" w:fill="6E9400"/>
          </w:tcPr>
          <w:p w14:paraId="45D64FD9" w14:textId="3EBA893B" w:rsidR="00267C33" w:rsidRPr="00C90D34" w:rsidRDefault="007856F4" w:rsidP="00267C33">
            <w:pPr>
              <w:spacing w:after="0"/>
              <w:jc w:val="center"/>
              <w:rPr>
                <w:b/>
                <w:bCs/>
                <w:color w:val="FFFFFF"/>
                <w:lang w:val="en-CA"/>
              </w:rPr>
            </w:pPr>
            <w:r>
              <w:rPr>
                <w:b/>
                <w:bCs/>
                <w:color w:val="FFFFFF"/>
                <w:lang w:val="en-CA"/>
              </w:rPr>
              <w:t>2018</w:t>
            </w:r>
          </w:p>
        </w:tc>
      </w:tr>
      <w:tr w:rsidR="00267C33" w:rsidRPr="00C90D34" w14:paraId="004744FE" w14:textId="77777777" w:rsidTr="00267C33">
        <w:trPr>
          <w:jc w:val="center"/>
        </w:trPr>
        <w:tc>
          <w:tcPr>
            <w:tcW w:w="3110" w:type="dxa"/>
            <w:tcBorders>
              <w:top w:val="single" w:sz="8" w:space="0" w:color="94C600"/>
              <w:left w:val="single" w:sz="8" w:space="0" w:color="94C600"/>
              <w:bottom w:val="single" w:sz="8" w:space="0" w:color="94C600"/>
            </w:tcBorders>
          </w:tcPr>
          <w:p w14:paraId="37955961" w14:textId="77777777" w:rsidR="00267C33" w:rsidRPr="00C90D34" w:rsidRDefault="00267C33" w:rsidP="00267C33">
            <w:pPr>
              <w:spacing w:after="0"/>
              <w:rPr>
                <w:bCs/>
                <w:lang w:val="en-CA"/>
              </w:rPr>
            </w:pPr>
            <w:r w:rsidRPr="00C90D34">
              <w:rPr>
                <w:bCs/>
                <w:lang w:val="en-CA"/>
              </w:rPr>
              <w:t>% of all debtors</w:t>
            </w:r>
          </w:p>
        </w:tc>
        <w:tc>
          <w:tcPr>
            <w:tcW w:w="2031" w:type="dxa"/>
            <w:tcBorders>
              <w:top w:val="single" w:sz="8" w:space="0" w:color="94C600"/>
              <w:bottom w:val="single" w:sz="8" w:space="0" w:color="94C600"/>
            </w:tcBorders>
          </w:tcPr>
          <w:p w14:paraId="7792B288" w14:textId="11A802AE" w:rsidR="00267C33" w:rsidRPr="00C90D34" w:rsidRDefault="00EF6F82" w:rsidP="00EF6F82">
            <w:pPr>
              <w:spacing w:after="0"/>
              <w:jc w:val="center"/>
              <w:rPr>
                <w:lang w:val="en-CA"/>
              </w:rPr>
            </w:pPr>
            <w:r>
              <w:rPr>
                <w:lang w:val="en-CA"/>
              </w:rPr>
              <w:t>29</w:t>
            </w:r>
            <w:r w:rsidR="00267C33" w:rsidRPr="00C90D34">
              <w:rPr>
                <w:lang w:val="en-CA"/>
              </w:rPr>
              <w:t>%</w:t>
            </w:r>
          </w:p>
        </w:tc>
        <w:tc>
          <w:tcPr>
            <w:tcW w:w="2031" w:type="dxa"/>
            <w:tcBorders>
              <w:top w:val="single" w:sz="8" w:space="0" w:color="94C600"/>
              <w:bottom w:val="single" w:sz="8" w:space="0" w:color="94C600"/>
            </w:tcBorders>
          </w:tcPr>
          <w:p w14:paraId="51D7F282" w14:textId="6F8A5E78" w:rsidR="00267C33" w:rsidRPr="00C90D34" w:rsidRDefault="00EF6F82" w:rsidP="00267C33">
            <w:pPr>
              <w:spacing w:after="0"/>
              <w:jc w:val="center"/>
              <w:rPr>
                <w:lang w:val="en-CA"/>
              </w:rPr>
            </w:pPr>
            <w:r>
              <w:rPr>
                <w:lang w:val="en-CA"/>
              </w:rPr>
              <w:t>35</w:t>
            </w:r>
            <w:r w:rsidR="00267C33" w:rsidRPr="00C90D34">
              <w:rPr>
                <w:lang w:val="en-CA"/>
              </w:rPr>
              <w:t>%</w:t>
            </w:r>
          </w:p>
        </w:tc>
        <w:tc>
          <w:tcPr>
            <w:tcW w:w="2032" w:type="dxa"/>
            <w:tcBorders>
              <w:top w:val="single" w:sz="8" w:space="0" w:color="94C600"/>
              <w:bottom w:val="single" w:sz="8" w:space="0" w:color="94C600"/>
              <w:right w:val="single" w:sz="8" w:space="0" w:color="94C600"/>
            </w:tcBorders>
          </w:tcPr>
          <w:p w14:paraId="647F3CAA" w14:textId="5E5F253F" w:rsidR="00267C33" w:rsidRPr="00C90D34" w:rsidRDefault="00EF6F82" w:rsidP="00267C33">
            <w:pPr>
              <w:spacing w:after="0"/>
              <w:jc w:val="center"/>
              <w:rPr>
                <w:lang w:val="en-CA"/>
              </w:rPr>
            </w:pPr>
            <w:r>
              <w:rPr>
                <w:lang w:val="en-CA"/>
              </w:rPr>
              <w:t>37</w:t>
            </w:r>
            <w:r w:rsidR="00267C33" w:rsidRPr="00C90D34">
              <w:rPr>
                <w:lang w:val="en-CA"/>
              </w:rPr>
              <w:t>%</w:t>
            </w:r>
          </w:p>
        </w:tc>
      </w:tr>
      <w:tr w:rsidR="00267C33" w:rsidRPr="00C90D34" w14:paraId="018A66F9" w14:textId="77777777" w:rsidTr="00267C33">
        <w:trPr>
          <w:jc w:val="center"/>
        </w:trPr>
        <w:tc>
          <w:tcPr>
            <w:tcW w:w="3110" w:type="dxa"/>
            <w:tcBorders>
              <w:top w:val="single" w:sz="8" w:space="0" w:color="94C600"/>
              <w:left w:val="single" w:sz="8" w:space="0" w:color="94C600"/>
              <w:bottom w:val="single" w:sz="8" w:space="0" w:color="94C600"/>
            </w:tcBorders>
          </w:tcPr>
          <w:p w14:paraId="492E61B8" w14:textId="77777777" w:rsidR="00267C33" w:rsidRPr="00C90D34" w:rsidRDefault="00267C33" w:rsidP="00267C33">
            <w:pPr>
              <w:spacing w:after="0"/>
              <w:rPr>
                <w:b/>
                <w:bCs/>
                <w:lang w:val="en-CA"/>
              </w:rPr>
            </w:pPr>
            <w:r w:rsidRPr="00C90D34">
              <w:rPr>
                <w:bCs/>
                <w:lang w:val="en-CA"/>
              </w:rPr>
              <w:t>Unsecured debt</w:t>
            </w:r>
          </w:p>
        </w:tc>
        <w:tc>
          <w:tcPr>
            <w:tcW w:w="2031" w:type="dxa"/>
            <w:tcBorders>
              <w:top w:val="single" w:sz="8" w:space="0" w:color="94C600"/>
              <w:bottom w:val="single" w:sz="8" w:space="0" w:color="94C600"/>
            </w:tcBorders>
          </w:tcPr>
          <w:p w14:paraId="1367B873" w14:textId="3AA10692" w:rsidR="00267C33" w:rsidRPr="00C90D34" w:rsidRDefault="00267C33" w:rsidP="00267C33">
            <w:pPr>
              <w:spacing w:after="0"/>
              <w:jc w:val="center"/>
              <w:rPr>
                <w:lang w:val="en-CA"/>
              </w:rPr>
            </w:pPr>
            <w:r w:rsidRPr="00C90D34">
              <w:rPr>
                <w:lang w:val="en-CA"/>
              </w:rPr>
              <w:t>$</w:t>
            </w:r>
            <w:r w:rsidR="00EF6F82">
              <w:rPr>
                <w:lang w:val="en-CA"/>
              </w:rPr>
              <w:t>35,497</w:t>
            </w:r>
          </w:p>
        </w:tc>
        <w:tc>
          <w:tcPr>
            <w:tcW w:w="2031" w:type="dxa"/>
            <w:tcBorders>
              <w:top w:val="single" w:sz="8" w:space="0" w:color="94C600"/>
              <w:bottom w:val="single" w:sz="8" w:space="0" w:color="94C600"/>
            </w:tcBorders>
          </w:tcPr>
          <w:p w14:paraId="0D1BC529" w14:textId="5DDCBABE" w:rsidR="00267C33" w:rsidRPr="00C90D34" w:rsidRDefault="00267C33" w:rsidP="00267C33">
            <w:pPr>
              <w:spacing w:after="0"/>
              <w:jc w:val="center"/>
              <w:rPr>
                <w:lang w:val="en-CA"/>
              </w:rPr>
            </w:pPr>
            <w:r w:rsidRPr="00C90D34">
              <w:rPr>
                <w:lang w:val="en-CA"/>
              </w:rPr>
              <w:t>$</w:t>
            </w:r>
            <w:r w:rsidR="00EF6F82">
              <w:rPr>
                <w:lang w:val="en-CA"/>
              </w:rPr>
              <w:t>35,886</w:t>
            </w:r>
          </w:p>
        </w:tc>
        <w:tc>
          <w:tcPr>
            <w:tcW w:w="2032" w:type="dxa"/>
            <w:tcBorders>
              <w:top w:val="single" w:sz="8" w:space="0" w:color="94C600"/>
              <w:bottom w:val="single" w:sz="8" w:space="0" w:color="94C600"/>
              <w:right w:val="single" w:sz="8" w:space="0" w:color="94C600"/>
            </w:tcBorders>
          </w:tcPr>
          <w:p w14:paraId="7D675DE7" w14:textId="77BF839F" w:rsidR="00267C33" w:rsidRPr="00C90D34" w:rsidRDefault="00267C33" w:rsidP="00267C33">
            <w:pPr>
              <w:spacing w:after="0"/>
              <w:jc w:val="center"/>
              <w:rPr>
                <w:lang w:val="en-CA"/>
              </w:rPr>
            </w:pPr>
            <w:r w:rsidRPr="00C90D34">
              <w:rPr>
                <w:lang w:val="en-CA"/>
              </w:rPr>
              <w:t>$3</w:t>
            </w:r>
            <w:r w:rsidR="00EF6F82">
              <w:rPr>
                <w:lang w:val="en-CA"/>
              </w:rPr>
              <w:t>5,733</w:t>
            </w:r>
          </w:p>
        </w:tc>
      </w:tr>
      <w:tr w:rsidR="00267C33" w:rsidRPr="00C90D34" w14:paraId="4233CB88" w14:textId="77777777" w:rsidTr="00267C33">
        <w:trPr>
          <w:jc w:val="center"/>
        </w:trPr>
        <w:tc>
          <w:tcPr>
            <w:tcW w:w="3110" w:type="dxa"/>
            <w:tcBorders>
              <w:top w:val="single" w:sz="8" w:space="0" w:color="94C600"/>
              <w:left w:val="single" w:sz="8" w:space="0" w:color="94C600"/>
              <w:bottom w:val="single" w:sz="8" w:space="0" w:color="94C600"/>
            </w:tcBorders>
          </w:tcPr>
          <w:p w14:paraId="359D2245" w14:textId="77777777" w:rsidR="00267C33" w:rsidRPr="00C90D34" w:rsidRDefault="00267C33" w:rsidP="00267C33">
            <w:pPr>
              <w:spacing w:after="0"/>
              <w:rPr>
                <w:bCs/>
                <w:lang w:val="en-CA"/>
              </w:rPr>
            </w:pPr>
            <w:r w:rsidRPr="00C90D34">
              <w:rPr>
                <w:bCs/>
                <w:lang w:val="en-CA"/>
              </w:rPr>
              <w:t>Debtor income</w:t>
            </w:r>
          </w:p>
        </w:tc>
        <w:tc>
          <w:tcPr>
            <w:tcW w:w="2031" w:type="dxa"/>
            <w:tcBorders>
              <w:top w:val="single" w:sz="8" w:space="0" w:color="94C600"/>
              <w:bottom w:val="single" w:sz="8" w:space="0" w:color="94C600"/>
            </w:tcBorders>
          </w:tcPr>
          <w:p w14:paraId="6838734D" w14:textId="2E5B9767" w:rsidR="00267C33" w:rsidRPr="00C90D34" w:rsidRDefault="00267C33" w:rsidP="00267C33">
            <w:pPr>
              <w:spacing w:after="0"/>
              <w:jc w:val="center"/>
              <w:rPr>
                <w:lang w:val="en-CA"/>
              </w:rPr>
            </w:pPr>
            <w:r w:rsidRPr="00C90D34">
              <w:rPr>
                <w:lang w:val="en-CA"/>
              </w:rPr>
              <w:t>$</w:t>
            </w:r>
            <w:r w:rsidR="00EF6F82">
              <w:rPr>
                <w:lang w:val="en-CA"/>
              </w:rPr>
              <w:t>2,</w:t>
            </w:r>
            <w:r w:rsidR="001C5FFF">
              <w:rPr>
                <w:lang w:val="en-CA"/>
              </w:rPr>
              <w:t>155</w:t>
            </w:r>
          </w:p>
        </w:tc>
        <w:tc>
          <w:tcPr>
            <w:tcW w:w="2031" w:type="dxa"/>
            <w:tcBorders>
              <w:top w:val="single" w:sz="8" w:space="0" w:color="94C600"/>
              <w:bottom w:val="single" w:sz="8" w:space="0" w:color="94C600"/>
            </w:tcBorders>
          </w:tcPr>
          <w:p w14:paraId="58AC4C27" w14:textId="79E055A2" w:rsidR="00267C33" w:rsidRPr="00C90D34" w:rsidRDefault="00267C33" w:rsidP="00267C33">
            <w:pPr>
              <w:spacing w:after="0"/>
              <w:jc w:val="center"/>
              <w:rPr>
                <w:lang w:val="en-CA"/>
              </w:rPr>
            </w:pPr>
            <w:r w:rsidRPr="00C90D34">
              <w:rPr>
                <w:lang w:val="en-CA"/>
              </w:rPr>
              <w:t>$</w:t>
            </w:r>
            <w:r w:rsidR="00EF6F82">
              <w:rPr>
                <w:lang w:val="en-CA"/>
              </w:rPr>
              <w:t>2,275</w:t>
            </w:r>
          </w:p>
        </w:tc>
        <w:tc>
          <w:tcPr>
            <w:tcW w:w="2032" w:type="dxa"/>
            <w:tcBorders>
              <w:top w:val="single" w:sz="8" w:space="0" w:color="94C600"/>
              <w:bottom w:val="single" w:sz="8" w:space="0" w:color="94C600"/>
              <w:right w:val="single" w:sz="8" w:space="0" w:color="94C600"/>
            </w:tcBorders>
          </w:tcPr>
          <w:p w14:paraId="64F265AF" w14:textId="02A1C0F1" w:rsidR="00267C33" w:rsidRPr="00C90D34" w:rsidRDefault="00267C33" w:rsidP="00267C33">
            <w:pPr>
              <w:spacing w:after="0"/>
              <w:jc w:val="center"/>
              <w:rPr>
                <w:lang w:val="en-CA"/>
              </w:rPr>
            </w:pPr>
            <w:r w:rsidRPr="00C90D34">
              <w:rPr>
                <w:lang w:val="en-CA"/>
              </w:rPr>
              <w:t>$</w:t>
            </w:r>
            <w:r w:rsidR="00EF6F82">
              <w:rPr>
                <w:lang w:val="en-CA"/>
              </w:rPr>
              <w:t>2,431</w:t>
            </w:r>
          </w:p>
        </w:tc>
      </w:tr>
      <w:tr w:rsidR="00267C33" w:rsidRPr="00C90D34" w14:paraId="7385773F" w14:textId="77777777" w:rsidTr="00267C33">
        <w:trPr>
          <w:jc w:val="center"/>
        </w:trPr>
        <w:tc>
          <w:tcPr>
            <w:tcW w:w="3110" w:type="dxa"/>
            <w:tcBorders>
              <w:top w:val="single" w:sz="8" w:space="0" w:color="94C600"/>
              <w:left w:val="single" w:sz="8" w:space="0" w:color="94C600"/>
              <w:bottom w:val="single" w:sz="8" w:space="0" w:color="94C600"/>
            </w:tcBorders>
          </w:tcPr>
          <w:p w14:paraId="5813FBE4" w14:textId="77777777" w:rsidR="00267C33" w:rsidRPr="00C90D34" w:rsidRDefault="00267C33" w:rsidP="00267C33">
            <w:pPr>
              <w:spacing w:after="0"/>
              <w:rPr>
                <w:bCs/>
                <w:lang w:val="en-CA"/>
              </w:rPr>
            </w:pPr>
            <w:r w:rsidRPr="00C90D34">
              <w:rPr>
                <w:bCs/>
                <w:lang w:val="en-CA"/>
              </w:rPr>
              <w:t>Unsecured debt-to-income</w:t>
            </w:r>
          </w:p>
        </w:tc>
        <w:tc>
          <w:tcPr>
            <w:tcW w:w="2031" w:type="dxa"/>
            <w:tcBorders>
              <w:top w:val="single" w:sz="8" w:space="0" w:color="94C600"/>
              <w:bottom w:val="single" w:sz="8" w:space="0" w:color="94C600"/>
            </w:tcBorders>
          </w:tcPr>
          <w:p w14:paraId="11B351B7" w14:textId="2AA686BB" w:rsidR="00267C33" w:rsidRPr="00C90D34" w:rsidRDefault="00EF6F82" w:rsidP="00267C33">
            <w:pPr>
              <w:spacing w:after="0"/>
              <w:jc w:val="center"/>
              <w:rPr>
                <w:lang w:val="en-CA"/>
              </w:rPr>
            </w:pPr>
            <w:r>
              <w:rPr>
                <w:lang w:val="en-CA"/>
              </w:rPr>
              <w:t>137</w:t>
            </w:r>
            <w:r w:rsidR="00267C33" w:rsidRPr="00C90D34">
              <w:rPr>
                <w:lang w:val="en-CA"/>
              </w:rPr>
              <w:t>%</w:t>
            </w:r>
          </w:p>
        </w:tc>
        <w:tc>
          <w:tcPr>
            <w:tcW w:w="2031" w:type="dxa"/>
            <w:tcBorders>
              <w:top w:val="single" w:sz="8" w:space="0" w:color="94C600"/>
              <w:bottom w:val="single" w:sz="8" w:space="0" w:color="94C600"/>
            </w:tcBorders>
          </w:tcPr>
          <w:p w14:paraId="2752A4EF" w14:textId="3E6F72FA" w:rsidR="00267C33" w:rsidRPr="00C90D34" w:rsidRDefault="00EF6F82" w:rsidP="00267C33">
            <w:pPr>
              <w:spacing w:after="0"/>
              <w:jc w:val="center"/>
              <w:rPr>
                <w:lang w:val="en-CA"/>
              </w:rPr>
            </w:pPr>
            <w:r>
              <w:rPr>
                <w:lang w:val="en-CA"/>
              </w:rPr>
              <w:t>131</w:t>
            </w:r>
            <w:r w:rsidR="00267C33" w:rsidRPr="00C90D34">
              <w:rPr>
                <w:lang w:val="en-CA"/>
              </w:rPr>
              <w:t>%</w:t>
            </w:r>
          </w:p>
        </w:tc>
        <w:tc>
          <w:tcPr>
            <w:tcW w:w="2032" w:type="dxa"/>
            <w:tcBorders>
              <w:top w:val="single" w:sz="8" w:space="0" w:color="94C600"/>
              <w:bottom w:val="single" w:sz="8" w:space="0" w:color="94C600"/>
              <w:right w:val="single" w:sz="8" w:space="0" w:color="94C600"/>
            </w:tcBorders>
          </w:tcPr>
          <w:p w14:paraId="288E3B4B" w14:textId="3F7FDB18" w:rsidR="00267C33" w:rsidRPr="00C90D34" w:rsidRDefault="00EF6F82" w:rsidP="00267C33">
            <w:pPr>
              <w:spacing w:after="0"/>
              <w:jc w:val="center"/>
              <w:rPr>
                <w:lang w:val="en-CA"/>
              </w:rPr>
            </w:pPr>
            <w:r>
              <w:rPr>
                <w:lang w:val="en-CA"/>
              </w:rPr>
              <w:t>122</w:t>
            </w:r>
            <w:r w:rsidR="00267C33" w:rsidRPr="00C90D34">
              <w:rPr>
                <w:lang w:val="en-CA"/>
              </w:rPr>
              <w:t>%</w:t>
            </w:r>
          </w:p>
        </w:tc>
      </w:tr>
      <w:tr w:rsidR="00267C33" w:rsidRPr="00C90D34" w14:paraId="184D7FE6" w14:textId="77777777" w:rsidTr="00267C33">
        <w:trPr>
          <w:jc w:val="center"/>
        </w:trPr>
        <w:tc>
          <w:tcPr>
            <w:tcW w:w="3110" w:type="dxa"/>
            <w:tcBorders>
              <w:top w:val="single" w:sz="8" w:space="0" w:color="6E9400"/>
              <w:left w:val="single" w:sz="8" w:space="0" w:color="6E9400"/>
              <w:bottom w:val="single" w:sz="8" w:space="0" w:color="6E9400"/>
            </w:tcBorders>
          </w:tcPr>
          <w:p w14:paraId="623CA545" w14:textId="77777777" w:rsidR="00267C33" w:rsidRPr="00C90D34" w:rsidRDefault="00267C33" w:rsidP="00267C33">
            <w:pPr>
              <w:spacing w:after="0"/>
              <w:rPr>
                <w:b/>
                <w:bCs/>
                <w:lang w:val="en-CA"/>
              </w:rPr>
            </w:pPr>
            <w:r w:rsidRPr="00C90D34">
              <w:rPr>
                <w:bCs/>
                <w:lang w:val="en-CA"/>
              </w:rPr>
              <w:t xml:space="preserve">Likelihood </w:t>
            </w:r>
            <w:r>
              <w:rPr>
                <w:bCs/>
                <w:lang w:val="en-CA"/>
              </w:rPr>
              <w:t>of owning</w:t>
            </w:r>
            <w:r w:rsidRPr="00C90D34">
              <w:rPr>
                <w:bCs/>
                <w:lang w:val="en-CA"/>
              </w:rPr>
              <w:t xml:space="preserve"> a home</w:t>
            </w:r>
          </w:p>
        </w:tc>
        <w:tc>
          <w:tcPr>
            <w:tcW w:w="2031" w:type="dxa"/>
            <w:tcBorders>
              <w:top w:val="single" w:sz="8" w:space="0" w:color="6E9400"/>
              <w:bottom w:val="single" w:sz="8" w:space="0" w:color="6E9400"/>
            </w:tcBorders>
          </w:tcPr>
          <w:p w14:paraId="4B9D2BCC" w14:textId="25D2CEE5" w:rsidR="00267C33" w:rsidRPr="00C90D34" w:rsidRDefault="00FD5BB0" w:rsidP="00267C33">
            <w:pPr>
              <w:spacing w:after="0"/>
              <w:jc w:val="center"/>
              <w:rPr>
                <w:lang w:val="en-CA"/>
              </w:rPr>
            </w:pPr>
            <w:r>
              <w:rPr>
                <w:lang w:val="en-CA"/>
              </w:rPr>
              <w:t>8</w:t>
            </w:r>
            <w:r w:rsidR="00267C33" w:rsidRPr="00C90D34">
              <w:rPr>
                <w:lang w:val="en-CA"/>
              </w:rPr>
              <w:t>%</w:t>
            </w:r>
          </w:p>
        </w:tc>
        <w:tc>
          <w:tcPr>
            <w:tcW w:w="2031" w:type="dxa"/>
            <w:tcBorders>
              <w:top w:val="single" w:sz="8" w:space="0" w:color="6E9400"/>
              <w:bottom w:val="single" w:sz="8" w:space="0" w:color="6E9400"/>
            </w:tcBorders>
          </w:tcPr>
          <w:p w14:paraId="67A601E1" w14:textId="021282BF" w:rsidR="00267C33" w:rsidRPr="00C90D34" w:rsidRDefault="00FD5BB0" w:rsidP="00267C33">
            <w:pPr>
              <w:spacing w:after="0"/>
              <w:jc w:val="center"/>
              <w:rPr>
                <w:lang w:val="en-CA"/>
              </w:rPr>
            </w:pPr>
            <w:r>
              <w:rPr>
                <w:lang w:val="en-CA"/>
              </w:rPr>
              <w:t>4</w:t>
            </w:r>
            <w:r w:rsidR="00267C33" w:rsidRPr="00C90D34">
              <w:rPr>
                <w:lang w:val="en-CA"/>
              </w:rPr>
              <w:t>%</w:t>
            </w:r>
          </w:p>
        </w:tc>
        <w:tc>
          <w:tcPr>
            <w:tcW w:w="2032" w:type="dxa"/>
            <w:tcBorders>
              <w:top w:val="single" w:sz="8" w:space="0" w:color="6E9400"/>
              <w:bottom w:val="single" w:sz="8" w:space="0" w:color="6E9400"/>
              <w:right w:val="single" w:sz="8" w:space="0" w:color="6E9400"/>
            </w:tcBorders>
          </w:tcPr>
          <w:p w14:paraId="66A30D98" w14:textId="639CAEEF" w:rsidR="00267C33" w:rsidRPr="00C90D34" w:rsidRDefault="00FD5BB0" w:rsidP="00267C33">
            <w:pPr>
              <w:spacing w:after="0"/>
              <w:jc w:val="center"/>
              <w:rPr>
                <w:lang w:val="en-CA"/>
              </w:rPr>
            </w:pPr>
            <w:r>
              <w:rPr>
                <w:lang w:val="en-CA"/>
              </w:rPr>
              <w:t>3</w:t>
            </w:r>
            <w:r w:rsidR="00267C33" w:rsidRPr="00C90D34">
              <w:rPr>
                <w:lang w:val="en-CA"/>
              </w:rPr>
              <w:t>%</w:t>
            </w:r>
          </w:p>
        </w:tc>
      </w:tr>
      <w:tr w:rsidR="005E32A6" w:rsidRPr="00C90D34" w14:paraId="60FDA8CE" w14:textId="77777777" w:rsidTr="001C5FFF">
        <w:trPr>
          <w:jc w:val="center"/>
        </w:trPr>
        <w:tc>
          <w:tcPr>
            <w:tcW w:w="3110" w:type="dxa"/>
            <w:tcBorders>
              <w:top w:val="single" w:sz="8" w:space="0" w:color="94C600"/>
              <w:left w:val="single" w:sz="8" w:space="0" w:color="94C600"/>
              <w:bottom w:val="single" w:sz="8" w:space="0" w:color="94C600"/>
            </w:tcBorders>
          </w:tcPr>
          <w:p w14:paraId="45208D97" w14:textId="77777777" w:rsidR="005E32A6" w:rsidRPr="009A153D" w:rsidRDefault="005E32A6" w:rsidP="001C5FFF">
            <w:pPr>
              <w:spacing w:after="0"/>
              <w:rPr>
                <w:bCs/>
                <w:lang w:val="en-CA"/>
              </w:rPr>
            </w:pPr>
            <w:r w:rsidRPr="009A153D">
              <w:rPr>
                <w:bCs/>
                <w:lang w:val="en-CA"/>
              </w:rPr>
              <w:t>% with student debt</w:t>
            </w:r>
          </w:p>
        </w:tc>
        <w:tc>
          <w:tcPr>
            <w:tcW w:w="2031" w:type="dxa"/>
            <w:tcBorders>
              <w:top w:val="single" w:sz="8" w:space="0" w:color="94C600"/>
              <w:bottom w:val="single" w:sz="8" w:space="0" w:color="94C600"/>
            </w:tcBorders>
          </w:tcPr>
          <w:p w14:paraId="0CE4B1C0" w14:textId="2C214A04" w:rsidR="005E32A6" w:rsidRPr="00C90D34" w:rsidRDefault="009A153D" w:rsidP="001C5FFF">
            <w:pPr>
              <w:spacing w:after="0"/>
              <w:jc w:val="center"/>
              <w:rPr>
                <w:lang w:val="en-CA"/>
              </w:rPr>
            </w:pPr>
            <w:r>
              <w:rPr>
                <w:lang w:val="en-CA"/>
              </w:rPr>
              <w:t>29</w:t>
            </w:r>
            <w:r w:rsidR="005E32A6" w:rsidRPr="00C90D34">
              <w:rPr>
                <w:lang w:val="en-CA"/>
              </w:rPr>
              <w:t>%</w:t>
            </w:r>
          </w:p>
        </w:tc>
        <w:tc>
          <w:tcPr>
            <w:tcW w:w="2031" w:type="dxa"/>
            <w:tcBorders>
              <w:top w:val="single" w:sz="8" w:space="0" w:color="94C600"/>
              <w:bottom w:val="single" w:sz="8" w:space="0" w:color="94C600"/>
            </w:tcBorders>
          </w:tcPr>
          <w:p w14:paraId="3C83C8B3" w14:textId="291F8024" w:rsidR="005E32A6" w:rsidRPr="00C90D34" w:rsidRDefault="005E32A6" w:rsidP="001C5FFF">
            <w:pPr>
              <w:spacing w:after="0"/>
              <w:jc w:val="center"/>
              <w:rPr>
                <w:lang w:val="en-CA"/>
              </w:rPr>
            </w:pPr>
            <w:r w:rsidRPr="00C90D34">
              <w:rPr>
                <w:lang w:val="en-CA"/>
              </w:rPr>
              <w:t>2</w:t>
            </w:r>
            <w:r w:rsidR="009A153D">
              <w:rPr>
                <w:lang w:val="en-CA"/>
              </w:rPr>
              <w:t>6</w:t>
            </w:r>
            <w:r w:rsidRPr="00C90D34">
              <w:rPr>
                <w:lang w:val="en-CA"/>
              </w:rPr>
              <w:t>%</w:t>
            </w:r>
          </w:p>
        </w:tc>
        <w:tc>
          <w:tcPr>
            <w:tcW w:w="2032" w:type="dxa"/>
            <w:tcBorders>
              <w:top w:val="single" w:sz="8" w:space="0" w:color="94C600"/>
              <w:bottom w:val="single" w:sz="8" w:space="0" w:color="94C600"/>
              <w:right w:val="single" w:sz="8" w:space="0" w:color="94C600"/>
            </w:tcBorders>
          </w:tcPr>
          <w:p w14:paraId="26B74C7A" w14:textId="2ACE9E96" w:rsidR="005E32A6" w:rsidRPr="00C90D34" w:rsidRDefault="009A153D" w:rsidP="001C5FFF">
            <w:pPr>
              <w:spacing w:after="0"/>
              <w:jc w:val="center"/>
              <w:rPr>
                <w:lang w:val="en-CA"/>
              </w:rPr>
            </w:pPr>
            <w:r>
              <w:rPr>
                <w:lang w:val="en-CA"/>
              </w:rPr>
              <w:t>31</w:t>
            </w:r>
            <w:r w:rsidR="005E32A6" w:rsidRPr="00C90D34">
              <w:rPr>
                <w:lang w:val="en-CA"/>
              </w:rPr>
              <w:t>%</w:t>
            </w:r>
          </w:p>
        </w:tc>
      </w:tr>
      <w:tr w:rsidR="005E32A6" w:rsidRPr="00C90D34" w14:paraId="4CD1E85C" w14:textId="77777777" w:rsidTr="001C5FFF">
        <w:trPr>
          <w:jc w:val="center"/>
        </w:trPr>
        <w:tc>
          <w:tcPr>
            <w:tcW w:w="3110" w:type="dxa"/>
            <w:tcBorders>
              <w:top w:val="single" w:sz="8" w:space="0" w:color="94C600"/>
              <w:left w:val="single" w:sz="8" w:space="0" w:color="94C600"/>
              <w:bottom w:val="single" w:sz="8" w:space="0" w:color="94C600"/>
            </w:tcBorders>
          </w:tcPr>
          <w:p w14:paraId="7EF5861A" w14:textId="3927F074" w:rsidR="005E32A6" w:rsidRPr="009A153D" w:rsidRDefault="005E32A6" w:rsidP="001C5FFF">
            <w:pPr>
              <w:spacing w:after="0"/>
              <w:rPr>
                <w:bCs/>
                <w:lang w:val="en-CA"/>
              </w:rPr>
            </w:pPr>
            <w:r w:rsidRPr="009A153D">
              <w:rPr>
                <w:bCs/>
                <w:lang w:val="en-CA"/>
              </w:rPr>
              <w:t xml:space="preserve">Student </w:t>
            </w:r>
            <w:proofErr w:type="spellStart"/>
            <w:r w:rsidRPr="009A153D">
              <w:rPr>
                <w:bCs/>
                <w:lang w:val="en-CA"/>
              </w:rPr>
              <w:t>debt</w:t>
            </w:r>
            <w:r w:rsidRPr="009A153D">
              <w:rPr>
                <w:bCs/>
                <w:vertAlign w:val="superscript"/>
                <w:lang w:val="en-CA"/>
              </w:rPr>
              <w:t>a</w:t>
            </w:r>
            <w:proofErr w:type="spellEnd"/>
          </w:p>
        </w:tc>
        <w:tc>
          <w:tcPr>
            <w:tcW w:w="2031" w:type="dxa"/>
            <w:tcBorders>
              <w:top w:val="single" w:sz="8" w:space="0" w:color="94C600"/>
              <w:bottom w:val="single" w:sz="8" w:space="0" w:color="94C600"/>
            </w:tcBorders>
          </w:tcPr>
          <w:p w14:paraId="2C2699CB" w14:textId="6D865E1D" w:rsidR="005E32A6" w:rsidRPr="00C90D34" w:rsidRDefault="005E32A6" w:rsidP="001C5FFF">
            <w:pPr>
              <w:spacing w:after="0"/>
              <w:jc w:val="center"/>
              <w:rPr>
                <w:lang w:val="en-CA"/>
              </w:rPr>
            </w:pPr>
            <w:r>
              <w:rPr>
                <w:lang w:val="en-CA"/>
              </w:rPr>
              <w:t>$13,359</w:t>
            </w:r>
          </w:p>
        </w:tc>
        <w:tc>
          <w:tcPr>
            <w:tcW w:w="2031" w:type="dxa"/>
            <w:tcBorders>
              <w:top w:val="single" w:sz="8" w:space="0" w:color="94C600"/>
              <w:bottom w:val="single" w:sz="8" w:space="0" w:color="94C600"/>
            </w:tcBorders>
          </w:tcPr>
          <w:p w14:paraId="5FE6CE72" w14:textId="5CA0CB51" w:rsidR="005E32A6" w:rsidRPr="00C90D34" w:rsidRDefault="005E32A6" w:rsidP="001C5FFF">
            <w:pPr>
              <w:spacing w:after="0"/>
              <w:jc w:val="center"/>
              <w:rPr>
                <w:lang w:val="en-CA"/>
              </w:rPr>
            </w:pPr>
            <w:r>
              <w:rPr>
                <w:lang w:val="en-CA"/>
              </w:rPr>
              <w:t>$13,734</w:t>
            </w:r>
          </w:p>
        </w:tc>
        <w:tc>
          <w:tcPr>
            <w:tcW w:w="2032" w:type="dxa"/>
            <w:tcBorders>
              <w:top w:val="single" w:sz="8" w:space="0" w:color="94C600"/>
              <w:bottom w:val="single" w:sz="8" w:space="0" w:color="94C600"/>
              <w:right w:val="single" w:sz="8" w:space="0" w:color="94C600"/>
            </w:tcBorders>
          </w:tcPr>
          <w:p w14:paraId="348AD31E" w14:textId="65819FB1" w:rsidR="005E32A6" w:rsidRPr="00C90D34" w:rsidRDefault="005E32A6" w:rsidP="001C5FFF">
            <w:pPr>
              <w:spacing w:after="0"/>
              <w:jc w:val="center"/>
              <w:rPr>
                <w:lang w:val="en-CA"/>
              </w:rPr>
            </w:pPr>
            <w:r>
              <w:rPr>
                <w:lang w:val="en-CA"/>
              </w:rPr>
              <w:t>$14,311</w:t>
            </w:r>
          </w:p>
        </w:tc>
      </w:tr>
      <w:tr w:rsidR="00267C33" w:rsidRPr="00C90D34" w14:paraId="5E94286C" w14:textId="77777777" w:rsidTr="00267C33">
        <w:trPr>
          <w:jc w:val="center"/>
        </w:trPr>
        <w:tc>
          <w:tcPr>
            <w:tcW w:w="3110" w:type="dxa"/>
            <w:tcBorders>
              <w:top w:val="single" w:sz="8" w:space="0" w:color="94C600"/>
              <w:left w:val="single" w:sz="8" w:space="0" w:color="94C600"/>
              <w:bottom w:val="single" w:sz="8" w:space="0" w:color="94C600"/>
            </w:tcBorders>
          </w:tcPr>
          <w:p w14:paraId="703061CF" w14:textId="77777777" w:rsidR="00267C33" w:rsidRPr="009A153D" w:rsidRDefault="00267C33" w:rsidP="00267C33">
            <w:pPr>
              <w:spacing w:after="0"/>
              <w:rPr>
                <w:bCs/>
                <w:lang w:val="en-CA"/>
              </w:rPr>
            </w:pPr>
            <w:r w:rsidRPr="009A153D">
              <w:rPr>
                <w:bCs/>
                <w:lang w:val="en-CA"/>
              </w:rPr>
              <w:t>% who use payday loans</w:t>
            </w:r>
          </w:p>
        </w:tc>
        <w:tc>
          <w:tcPr>
            <w:tcW w:w="2031" w:type="dxa"/>
            <w:tcBorders>
              <w:top w:val="single" w:sz="8" w:space="0" w:color="94C600"/>
              <w:bottom w:val="single" w:sz="8" w:space="0" w:color="94C600"/>
            </w:tcBorders>
          </w:tcPr>
          <w:p w14:paraId="0B253871" w14:textId="351729DB" w:rsidR="00267C33" w:rsidRPr="00C90D34" w:rsidRDefault="004212C3" w:rsidP="00267C33">
            <w:pPr>
              <w:spacing w:after="0"/>
              <w:jc w:val="center"/>
              <w:rPr>
                <w:lang w:val="en-CA"/>
              </w:rPr>
            </w:pPr>
            <w:r>
              <w:rPr>
                <w:lang w:val="en-CA"/>
              </w:rPr>
              <w:t>35</w:t>
            </w:r>
            <w:r w:rsidR="00267C33" w:rsidRPr="00C90D34">
              <w:rPr>
                <w:lang w:val="en-CA"/>
              </w:rPr>
              <w:t>%</w:t>
            </w:r>
          </w:p>
        </w:tc>
        <w:tc>
          <w:tcPr>
            <w:tcW w:w="2031" w:type="dxa"/>
            <w:tcBorders>
              <w:top w:val="single" w:sz="8" w:space="0" w:color="94C600"/>
              <w:bottom w:val="single" w:sz="8" w:space="0" w:color="94C600"/>
            </w:tcBorders>
          </w:tcPr>
          <w:p w14:paraId="2DF2EC71" w14:textId="5F0A16E1" w:rsidR="00267C33" w:rsidRPr="00C90D34" w:rsidRDefault="004212C3" w:rsidP="00267C33">
            <w:pPr>
              <w:spacing w:after="0"/>
              <w:jc w:val="center"/>
              <w:rPr>
                <w:lang w:val="en-CA"/>
              </w:rPr>
            </w:pPr>
            <w:r>
              <w:rPr>
                <w:lang w:val="en-CA"/>
              </w:rPr>
              <w:t>40</w:t>
            </w:r>
            <w:r w:rsidR="00267C33" w:rsidRPr="00C90D34">
              <w:rPr>
                <w:lang w:val="en-CA"/>
              </w:rPr>
              <w:t>%</w:t>
            </w:r>
          </w:p>
        </w:tc>
        <w:tc>
          <w:tcPr>
            <w:tcW w:w="2032" w:type="dxa"/>
            <w:tcBorders>
              <w:top w:val="single" w:sz="8" w:space="0" w:color="94C600"/>
              <w:bottom w:val="single" w:sz="8" w:space="0" w:color="94C600"/>
              <w:right w:val="single" w:sz="8" w:space="0" w:color="94C600"/>
            </w:tcBorders>
          </w:tcPr>
          <w:p w14:paraId="5B657707" w14:textId="230082A9" w:rsidR="00267C33" w:rsidRPr="00C90D34" w:rsidRDefault="004212C3" w:rsidP="00267C33">
            <w:pPr>
              <w:spacing w:after="0"/>
              <w:jc w:val="center"/>
              <w:rPr>
                <w:lang w:val="en-CA"/>
              </w:rPr>
            </w:pPr>
            <w:r>
              <w:rPr>
                <w:lang w:val="en-CA"/>
              </w:rPr>
              <w:t>46</w:t>
            </w:r>
            <w:r w:rsidR="00267C33" w:rsidRPr="00C90D34">
              <w:rPr>
                <w:lang w:val="en-CA"/>
              </w:rPr>
              <w:t>%</w:t>
            </w:r>
          </w:p>
        </w:tc>
      </w:tr>
      <w:tr w:rsidR="005E32A6" w:rsidRPr="00C90D34" w14:paraId="7C609CAB" w14:textId="77777777" w:rsidTr="00267C33">
        <w:trPr>
          <w:jc w:val="center"/>
        </w:trPr>
        <w:tc>
          <w:tcPr>
            <w:tcW w:w="3110" w:type="dxa"/>
            <w:tcBorders>
              <w:top w:val="single" w:sz="8" w:space="0" w:color="94C600"/>
              <w:left w:val="single" w:sz="8" w:space="0" w:color="94C600"/>
              <w:bottom w:val="single" w:sz="8" w:space="0" w:color="94C600"/>
            </w:tcBorders>
          </w:tcPr>
          <w:p w14:paraId="0E8E9434" w14:textId="1135CA69" w:rsidR="005E32A6" w:rsidRPr="009A153D" w:rsidRDefault="005E32A6" w:rsidP="00267C33">
            <w:pPr>
              <w:spacing w:after="0"/>
              <w:rPr>
                <w:bCs/>
                <w:lang w:val="en-CA"/>
              </w:rPr>
            </w:pPr>
            <w:r w:rsidRPr="009A153D">
              <w:rPr>
                <w:bCs/>
                <w:lang w:val="en-CA"/>
              </w:rPr>
              <w:t xml:space="preserve">Payday loan </w:t>
            </w:r>
            <w:proofErr w:type="spellStart"/>
            <w:r w:rsidRPr="009A153D">
              <w:rPr>
                <w:bCs/>
                <w:lang w:val="en-CA"/>
              </w:rPr>
              <w:t>debt</w:t>
            </w:r>
            <w:r w:rsidR="009A153D" w:rsidRPr="009A153D">
              <w:rPr>
                <w:bCs/>
                <w:vertAlign w:val="superscript"/>
                <w:lang w:val="en-CA"/>
              </w:rPr>
              <w:t>b</w:t>
            </w:r>
            <w:proofErr w:type="spellEnd"/>
          </w:p>
        </w:tc>
        <w:tc>
          <w:tcPr>
            <w:tcW w:w="2031" w:type="dxa"/>
            <w:tcBorders>
              <w:top w:val="single" w:sz="8" w:space="0" w:color="94C600"/>
              <w:bottom w:val="single" w:sz="8" w:space="0" w:color="94C600"/>
            </w:tcBorders>
          </w:tcPr>
          <w:p w14:paraId="0ED8387B" w14:textId="3E4A71FB" w:rsidR="005E32A6" w:rsidRPr="00C90D34" w:rsidRDefault="005E32A6" w:rsidP="00267C33">
            <w:pPr>
              <w:spacing w:after="0"/>
              <w:jc w:val="center"/>
              <w:rPr>
                <w:lang w:val="en-CA"/>
              </w:rPr>
            </w:pPr>
            <w:r>
              <w:rPr>
                <w:lang w:val="en-CA"/>
              </w:rPr>
              <w:t>$2,745</w:t>
            </w:r>
          </w:p>
        </w:tc>
        <w:tc>
          <w:tcPr>
            <w:tcW w:w="2031" w:type="dxa"/>
            <w:tcBorders>
              <w:top w:val="single" w:sz="8" w:space="0" w:color="94C600"/>
              <w:bottom w:val="single" w:sz="8" w:space="0" w:color="94C600"/>
            </w:tcBorders>
          </w:tcPr>
          <w:p w14:paraId="17FB72E5" w14:textId="5CB639C9" w:rsidR="005E32A6" w:rsidRPr="00C90D34" w:rsidRDefault="005E32A6" w:rsidP="00267C33">
            <w:pPr>
              <w:spacing w:after="0"/>
              <w:jc w:val="center"/>
              <w:rPr>
                <w:lang w:val="en-CA"/>
              </w:rPr>
            </w:pPr>
            <w:r>
              <w:rPr>
                <w:lang w:val="en-CA"/>
              </w:rPr>
              <w:t>$3,639</w:t>
            </w:r>
          </w:p>
        </w:tc>
        <w:tc>
          <w:tcPr>
            <w:tcW w:w="2032" w:type="dxa"/>
            <w:tcBorders>
              <w:top w:val="single" w:sz="8" w:space="0" w:color="94C600"/>
              <w:bottom w:val="single" w:sz="8" w:space="0" w:color="94C600"/>
              <w:right w:val="single" w:sz="8" w:space="0" w:color="94C600"/>
            </w:tcBorders>
          </w:tcPr>
          <w:p w14:paraId="2473751D" w14:textId="3FD8DC25" w:rsidR="005E32A6" w:rsidRPr="00C90D34" w:rsidRDefault="005E32A6" w:rsidP="00267C33">
            <w:pPr>
              <w:spacing w:after="0"/>
              <w:jc w:val="center"/>
              <w:rPr>
                <w:lang w:val="en-CA"/>
              </w:rPr>
            </w:pPr>
            <w:r>
              <w:rPr>
                <w:lang w:val="en-CA"/>
              </w:rPr>
              <w:t>$4,792</w:t>
            </w:r>
          </w:p>
        </w:tc>
      </w:tr>
      <w:tr w:rsidR="005E32A6" w:rsidRPr="00C90D34" w14:paraId="149A1E48" w14:textId="77777777" w:rsidTr="00267C33">
        <w:trPr>
          <w:jc w:val="center"/>
        </w:trPr>
        <w:tc>
          <w:tcPr>
            <w:tcW w:w="3110" w:type="dxa"/>
            <w:tcBorders>
              <w:top w:val="single" w:sz="8" w:space="0" w:color="94C600"/>
              <w:left w:val="single" w:sz="8" w:space="0" w:color="94C600"/>
              <w:bottom w:val="single" w:sz="8" w:space="0" w:color="94C600"/>
            </w:tcBorders>
          </w:tcPr>
          <w:p w14:paraId="5EB78130" w14:textId="7AF2D6F0" w:rsidR="005E32A6" w:rsidRPr="009A153D" w:rsidRDefault="005E32A6" w:rsidP="005E32A6">
            <w:pPr>
              <w:spacing w:after="0"/>
              <w:rPr>
                <w:bCs/>
                <w:lang w:val="en-CA"/>
              </w:rPr>
            </w:pPr>
            <w:r w:rsidRPr="009A153D">
              <w:rPr>
                <w:bCs/>
                <w:lang w:val="en-CA"/>
              </w:rPr>
              <w:t xml:space="preserve">% who use </w:t>
            </w:r>
            <w:r w:rsidR="0043201D" w:rsidRPr="009A153D">
              <w:rPr>
                <w:bCs/>
                <w:lang w:val="en-CA"/>
              </w:rPr>
              <w:t>credit card debt</w:t>
            </w:r>
          </w:p>
        </w:tc>
        <w:tc>
          <w:tcPr>
            <w:tcW w:w="2031" w:type="dxa"/>
            <w:tcBorders>
              <w:top w:val="single" w:sz="8" w:space="0" w:color="94C600"/>
              <w:bottom w:val="single" w:sz="8" w:space="0" w:color="94C600"/>
            </w:tcBorders>
          </w:tcPr>
          <w:p w14:paraId="40E40067" w14:textId="693C7C17" w:rsidR="005E32A6" w:rsidRPr="00C90D34" w:rsidRDefault="0043201D" w:rsidP="005E32A6">
            <w:pPr>
              <w:spacing w:after="0"/>
              <w:jc w:val="center"/>
              <w:rPr>
                <w:lang w:val="en-CA"/>
              </w:rPr>
            </w:pPr>
            <w:r>
              <w:rPr>
                <w:lang w:val="en-CA"/>
              </w:rPr>
              <w:t>86</w:t>
            </w:r>
            <w:r w:rsidR="005E32A6" w:rsidRPr="00C90D34">
              <w:rPr>
                <w:lang w:val="en-CA"/>
              </w:rPr>
              <w:t>%</w:t>
            </w:r>
          </w:p>
        </w:tc>
        <w:tc>
          <w:tcPr>
            <w:tcW w:w="2031" w:type="dxa"/>
            <w:tcBorders>
              <w:top w:val="single" w:sz="8" w:space="0" w:color="94C600"/>
              <w:bottom w:val="single" w:sz="8" w:space="0" w:color="94C600"/>
            </w:tcBorders>
          </w:tcPr>
          <w:p w14:paraId="05F053D3" w14:textId="2CDE1A25" w:rsidR="005E32A6" w:rsidRPr="00C90D34" w:rsidRDefault="0043201D" w:rsidP="005E32A6">
            <w:pPr>
              <w:spacing w:after="0"/>
              <w:jc w:val="center"/>
              <w:rPr>
                <w:lang w:val="en-CA"/>
              </w:rPr>
            </w:pPr>
            <w:r>
              <w:rPr>
                <w:lang w:val="en-CA"/>
              </w:rPr>
              <w:t>86</w:t>
            </w:r>
            <w:r w:rsidR="005E32A6" w:rsidRPr="00C90D34">
              <w:rPr>
                <w:lang w:val="en-CA"/>
              </w:rPr>
              <w:t>%</w:t>
            </w:r>
          </w:p>
        </w:tc>
        <w:tc>
          <w:tcPr>
            <w:tcW w:w="2032" w:type="dxa"/>
            <w:tcBorders>
              <w:top w:val="single" w:sz="8" w:space="0" w:color="94C600"/>
              <w:bottom w:val="single" w:sz="8" w:space="0" w:color="94C600"/>
              <w:right w:val="single" w:sz="8" w:space="0" w:color="94C600"/>
            </w:tcBorders>
          </w:tcPr>
          <w:p w14:paraId="6FCC8869" w14:textId="739CF446" w:rsidR="005E32A6" w:rsidRPr="00C90D34" w:rsidRDefault="0043201D" w:rsidP="005E32A6">
            <w:pPr>
              <w:spacing w:after="0"/>
              <w:jc w:val="center"/>
              <w:rPr>
                <w:lang w:val="en-CA"/>
              </w:rPr>
            </w:pPr>
            <w:r>
              <w:rPr>
                <w:lang w:val="en-CA"/>
              </w:rPr>
              <w:t>88</w:t>
            </w:r>
            <w:r w:rsidR="005E32A6" w:rsidRPr="00C90D34">
              <w:rPr>
                <w:lang w:val="en-CA"/>
              </w:rPr>
              <w:t>%</w:t>
            </w:r>
          </w:p>
        </w:tc>
      </w:tr>
      <w:tr w:rsidR="005E32A6" w:rsidRPr="00C90D34" w14:paraId="4B71CFD4" w14:textId="77777777" w:rsidTr="005E32A6">
        <w:trPr>
          <w:jc w:val="center"/>
        </w:trPr>
        <w:tc>
          <w:tcPr>
            <w:tcW w:w="3110" w:type="dxa"/>
            <w:tcBorders>
              <w:top w:val="single" w:sz="8" w:space="0" w:color="94C600"/>
              <w:left w:val="single" w:sz="8" w:space="0" w:color="94C600"/>
              <w:bottom w:val="single" w:sz="8" w:space="0" w:color="94C600"/>
            </w:tcBorders>
          </w:tcPr>
          <w:p w14:paraId="74DFB21D" w14:textId="093D56C0" w:rsidR="005E32A6" w:rsidRPr="009A153D" w:rsidRDefault="005E32A6" w:rsidP="005E32A6">
            <w:pPr>
              <w:spacing w:after="0"/>
              <w:rPr>
                <w:bCs/>
                <w:lang w:val="en-CA"/>
              </w:rPr>
            </w:pPr>
            <w:r w:rsidRPr="009A153D">
              <w:rPr>
                <w:bCs/>
                <w:lang w:val="en-CA"/>
              </w:rPr>
              <w:t xml:space="preserve">Credit card </w:t>
            </w:r>
            <w:proofErr w:type="spellStart"/>
            <w:r w:rsidRPr="009A153D">
              <w:rPr>
                <w:bCs/>
                <w:lang w:val="en-CA"/>
              </w:rPr>
              <w:t>debt</w:t>
            </w:r>
            <w:r w:rsidR="009A153D" w:rsidRPr="009A153D">
              <w:rPr>
                <w:bCs/>
                <w:vertAlign w:val="superscript"/>
                <w:lang w:val="en-CA"/>
              </w:rPr>
              <w:t>c</w:t>
            </w:r>
            <w:proofErr w:type="spellEnd"/>
          </w:p>
        </w:tc>
        <w:tc>
          <w:tcPr>
            <w:tcW w:w="2031" w:type="dxa"/>
            <w:tcBorders>
              <w:top w:val="single" w:sz="8" w:space="0" w:color="94C600"/>
              <w:bottom w:val="single" w:sz="8" w:space="0" w:color="94C600"/>
            </w:tcBorders>
          </w:tcPr>
          <w:p w14:paraId="44C0FE8B" w14:textId="4907CA5E" w:rsidR="005E32A6" w:rsidRPr="00C90D34" w:rsidRDefault="005E32A6" w:rsidP="005E32A6">
            <w:pPr>
              <w:spacing w:after="0"/>
              <w:jc w:val="center"/>
              <w:rPr>
                <w:lang w:val="en-CA"/>
              </w:rPr>
            </w:pPr>
            <w:r>
              <w:rPr>
                <w:lang w:val="en-CA"/>
              </w:rPr>
              <w:t>$</w:t>
            </w:r>
            <w:r w:rsidR="009A153D">
              <w:rPr>
                <w:lang w:val="en-CA"/>
              </w:rPr>
              <w:t>10,539</w:t>
            </w:r>
          </w:p>
        </w:tc>
        <w:tc>
          <w:tcPr>
            <w:tcW w:w="2031" w:type="dxa"/>
            <w:tcBorders>
              <w:top w:val="single" w:sz="8" w:space="0" w:color="94C600"/>
              <w:bottom w:val="single" w:sz="8" w:space="0" w:color="94C600"/>
            </w:tcBorders>
          </w:tcPr>
          <w:p w14:paraId="3AF1E5A6" w14:textId="001E4004" w:rsidR="005E32A6" w:rsidRPr="00C90D34" w:rsidRDefault="005E32A6" w:rsidP="005E32A6">
            <w:pPr>
              <w:spacing w:after="0"/>
              <w:jc w:val="center"/>
              <w:rPr>
                <w:lang w:val="en-CA"/>
              </w:rPr>
            </w:pPr>
            <w:r>
              <w:rPr>
                <w:lang w:val="en-CA"/>
              </w:rPr>
              <w:t>$</w:t>
            </w:r>
            <w:r w:rsidR="009A153D">
              <w:rPr>
                <w:lang w:val="en-CA"/>
              </w:rPr>
              <w:t>10,956</w:t>
            </w:r>
          </w:p>
        </w:tc>
        <w:tc>
          <w:tcPr>
            <w:tcW w:w="2032" w:type="dxa"/>
            <w:tcBorders>
              <w:top w:val="single" w:sz="8" w:space="0" w:color="94C600"/>
              <w:bottom w:val="single" w:sz="8" w:space="0" w:color="94C600"/>
              <w:right w:val="single" w:sz="8" w:space="0" w:color="94C600"/>
            </w:tcBorders>
          </w:tcPr>
          <w:p w14:paraId="6D03F242" w14:textId="4D90077A" w:rsidR="005E32A6" w:rsidRPr="00C90D34" w:rsidRDefault="005E32A6" w:rsidP="005E32A6">
            <w:pPr>
              <w:spacing w:after="0"/>
              <w:jc w:val="center"/>
              <w:rPr>
                <w:lang w:val="en-CA"/>
              </w:rPr>
            </w:pPr>
            <w:r>
              <w:rPr>
                <w:lang w:val="en-CA"/>
              </w:rPr>
              <w:t>$</w:t>
            </w:r>
            <w:r w:rsidR="009A153D">
              <w:rPr>
                <w:lang w:val="en-CA"/>
              </w:rPr>
              <w:t>11,716</w:t>
            </w:r>
          </w:p>
        </w:tc>
      </w:tr>
      <w:tr w:rsidR="005E32A6" w:rsidRPr="00C90D34" w14:paraId="3BA466FC" w14:textId="77777777" w:rsidTr="001C5FFF">
        <w:trPr>
          <w:jc w:val="center"/>
        </w:trPr>
        <w:tc>
          <w:tcPr>
            <w:tcW w:w="9204" w:type="dxa"/>
            <w:gridSpan w:val="4"/>
            <w:tcBorders>
              <w:top w:val="single" w:sz="8" w:space="0" w:color="94C600"/>
              <w:left w:val="nil"/>
              <w:bottom w:val="nil"/>
            </w:tcBorders>
          </w:tcPr>
          <w:p w14:paraId="09E89B8F" w14:textId="7AB6271F" w:rsidR="005E32A6" w:rsidRPr="00C90D34" w:rsidRDefault="005E32A6" w:rsidP="005E32A6">
            <w:pPr>
              <w:spacing w:after="0"/>
              <w:rPr>
                <w:lang w:val="en-CA"/>
              </w:rPr>
            </w:pPr>
            <w:r w:rsidRPr="00F13498">
              <w:rPr>
                <w:sz w:val="20"/>
                <w:lang w:val="en-CA"/>
              </w:rPr>
              <w:t xml:space="preserve">a - those with </w:t>
            </w:r>
            <w:r>
              <w:rPr>
                <w:sz w:val="20"/>
                <w:lang w:val="en-CA"/>
              </w:rPr>
              <w:t>student debt, b – those with payday loans, c – those with credit card debt</w:t>
            </w:r>
          </w:p>
        </w:tc>
      </w:tr>
    </w:tbl>
    <w:p w14:paraId="6B039F5E" w14:textId="5079BC5C" w:rsidR="00937C70" w:rsidRDefault="00937C70" w:rsidP="00826618"/>
    <w:p w14:paraId="650F5A68" w14:textId="77777777" w:rsidR="00B2519E" w:rsidRPr="00B2519E" w:rsidRDefault="00B2519E" w:rsidP="00B2519E">
      <w:r w:rsidRPr="00B2519E">
        <w:lastRenderedPageBreak/>
        <w:t>More than three in ten (31%) Millennial debtors carry student debt.  For those who do, their average student loan debt in 2018 was $14,311, an increase of 4.2% over 2017.</w:t>
      </w:r>
    </w:p>
    <w:p w14:paraId="4BBDA5F1" w14:textId="77777777" w:rsidR="00B2519E" w:rsidRPr="00B2519E" w:rsidRDefault="00B2519E" w:rsidP="00B2519E">
      <w:r w:rsidRPr="00B2519E">
        <w:t xml:space="preserve">Millennials are a generation buried in student loans which is why we are seeing such a dramatic rise in student debt driven insolvencies. In our 2018 study, almost one in five (18%) insolvencies involved student debt with 64% of student debt insolvencies filed by Millennials, followed by Generation X at 31%.  Under Canadian bankruptcy law, student loan debt is not automatically discharged by bankruptcy or a consumer proposal unless the debtor has been out of school for at least seven years.  Millennials, and </w:t>
      </w:r>
      <w:proofErr w:type="spellStart"/>
      <w:r w:rsidRPr="00B2519E">
        <w:t>GenXers</w:t>
      </w:r>
      <w:proofErr w:type="spellEnd"/>
      <w:r w:rsidRPr="00B2519E">
        <w:t>, dealing with student debt have been struggling with repayment for years. As more Millennials, and eventually Post-Millennials pass the 7-year limitation for student debt forgiveness in a bankruptcy or consumer proposal, student debt insolvencies rise.</w:t>
      </w:r>
    </w:p>
    <w:p w14:paraId="4593F055" w14:textId="77777777" w:rsidR="00B2519E" w:rsidRPr="00B2519E" w:rsidRDefault="00B2519E" w:rsidP="00B2519E">
      <w:r w:rsidRPr="00B2519E">
        <w:t>For more on why student debt is a looming debt crisis, see our 2017 study on </w:t>
      </w:r>
      <w:hyperlink r:id="rId12" w:history="1">
        <w:r w:rsidRPr="00B2519E">
          <w:rPr>
            <w:rStyle w:val="Hyperlink"/>
          </w:rPr>
          <w:t>Why Student Debt is Contributing to More Insolvencies</w:t>
        </w:r>
      </w:hyperlink>
      <w:r w:rsidRPr="00B2519E">
        <w:t>.</w:t>
      </w:r>
    </w:p>
    <w:p w14:paraId="5777C84A" w14:textId="77777777" w:rsidR="00B2519E" w:rsidRPr="00B2519E" w:rsidRDefault="00B2519E" w:rsidP="00B2519E">
      <w:r w:rsidRPr="00B2519E">
        <w:t>In 2018, almost half (46%) of all Millennial debtors had at least one payday-style loan, up from 40% in 2017.  Access to quick, low credit money is perhaps the largest debt epidemic facing Millennials after student debt.</w:t>
      </w:r>
    </w:p>
    <w:p w14:paraId="294BAFCD" w14:textId="77777777" w:rsidR="00B2519E" w:rsidRPr="00B2519E" w:rsidRDefault="00B2519E" w:rsidP="00B2519E">
      <w:r w:rsidRPr="00B2519E">
        <w:t>Payday loan companies and online lenders now offer a wider array of easy borrowing options for individuals with poor credit, including larger short-term installment loans and lines of credit.  While traditional Ontario payday loans (most of these loans) still charge an effective annual interest rate of 390% effective January 2018, quick cash installment loans for those with poor credit typically cost up to 59.99%3.</w:t>
      </w:r>
    </w:p>
    <w:p w14:paraId="57A41B0C" w14:textId="77777777" w:rsidR="00B2519E" w:rsidRPr="00B2519E" w:rsidRDefault="00B2519E" w:rsidP="00B2519E">
      <w:r w:rsidRPr="00B2519E">
        <w:t>Attracted by easy online access and advertising lines like ‘fast &amp; easy’, ‘better than payday loans’ and ‘no documents needed’ and often ‘no credit check required’, Millennials are frequent users.</w:t>
      </w:r>
    </w:p>
    <w:p w14:paraId="4DAE7174" w14:textId="77777777" w:rsidR="00B2519E" w:rsidRPr="00B2519E" w:rsidRDefault="00B2519E" w:rsidP="00B2519E">
      <w:r w:rsidRPr="00B2519E">
        <w:t>Millennial debtors using a payday loan now owe a total of $4,792 on 4.1 loans, accounting for 15% of their total debt. Even more alarming, their average payday-style loan size grew from $920 in 2017 to $1,189 in 2018.  Meanwhile, 13% of all Millennial fast cash loans were for $2,500 or more, up from 6% in 2017.</w:t>
      </w:r>
    </w:p>
    <w:p w14:paraId="38433DAB" w14:textId="77777777" w:rsidR="00B2519E" w:rsidRPr="00B2519E" w:rsidRDefault="00B2519E" w:rsidP="00B2519E">
      <w:r w:rsidRPr="00B2519E">
        <w:t>For more information on why the payday loan crisis is not abating, and how this impacts all age groups, see our 2018 report on </w:t>
      </w:r>
      <w:hyperlink r:id="rId13" w:history="1">
        <w:r w:rsidRPr="00B2519E">
          <w:rPr>
            <w:rStyle w:val="Hyperlink"/>
          </w:rPr>
          <w:t>Payday Loans and Bankruptcy</w:t>
        </w:r>
      </w:hyperlink>
      <w:r w:rsidRPr="00B2519E">
        <w:t>.</w:t>
      </w:r>
    </w:p>
    <w:p w14:paraId="06A18A63" w14:textId="77777777" w:rsidR="00B2519E" w:rsidRPr="00B2519E" w:rsidRDefault="00B2519E" w:rsidP="00B2519E">
      <w:r w:rsidRPr="00B2519E">
        <w:t>Another changing trend among Millennial debtors is the return to the use of credit card debt and lines of credit. </w:t>
      </w:r>
    </w:p>
    <w:p w14:paraId="1AF3E983" w14:textId="2B0906CD" w:rsidR="004A52FC" w:rsidRDefault="00B2519E" w:rsidP="00826618">
      <w:r>
        <w:rPr>
          <w:noProof/>
        </w:rPr>
        <w:lastRenderedPageBreak/>
        <w:drawing>
          <wp:inline distT="0" distB="0" distL="0" distR="0" wp14:anchorId="1456A591" wp14:editId="2A2CD8EB">
            <wp:extent cx="5755640" cy="3283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5640" cy="3283585"/>
                    </a:xfrm>
                    <a:prstGeom prst="rect">
                      <a:avLst/>
                    </a:prstGeom>
                  </pic:spPr>
                </pic:pic>
              </a:graphicData>
            </a:graphic>
          </wp:inline>
        </w:drawing>
      </w:r>
    </w:p>
    <w:p w14:paraId="34CCB3AF" w14:textId="77777777" w:rsidR="00B2519E" w:rsidRPr="00B2519E" w:rsidRDefault="00B2519E" w:rsidP="00B2519E">
      <w:r w:rsidRPr="00B2519E">
        <w:t>After declining steadily from 2013 to 2016, average credit card debt owed by insolvent Millennials has increased over the past two years.</w:t>
      </w:r>
    </w:p>
    <w:p w14:paraId="2C161E3C" w14:textId="77777777" w:rsidR="00B2519E" w:rsidRPr="00B2519E" w:rsidRDefault="00B2519E" w:rsidP="00B2519E">
      <w:r w:rsidRPr="00B2519E">
        <w:t>As Millennials become older, they both apply for more credit cards and increase their credit card limits as their incomes rise. In 2018, Millennials with credit card debt owed an average of $11,716 on 2.5 credit cards, an increase of 6.9% from 2017 balances.</w:t>
      </w:r>
    </w:p>
    <w:p w14:paraId="6792BF95" w14:textId="77777777" w:rsidR="00B2519E" w:rsidRPr="00B2519E" w:rsidRDefault="00B2519E" w:rsidP="00B2519E">
      <w:r w:rsidRPr="00B2519E">
        <w:t>At the same time, their average personal loan balances, which includes unsecured lines of credit, grew 3.8% to $14,370 in 2018.</w:t>
      </w:r>
    </w:p>
    <w:p w14:paraId="03CCA487" w14:textId="77777777" w:rsidR="00B2519E" w:rsidRPr="00B2519E" w:rsidRDefault="00B2519E" w:rsidP="00B2519E">
      <w:r w:rsidRPr="00B2519E">
        <w:t>Millennials don’t limit their credit card use to big-ticket items. They are highly likely to pay for everyday goods and services, including entertainment, groceries, and clothes, as well as make online purchases with credit cards, which can lead to financial problems when credit is used to balance their budget. They often view minimum payments as just another monthly expense to be covered.</w:t>
      </w:r>
    </w:p>
    <w:p w14:paraId="5CD08A03" w14:textId="77777777" w:rsidR="00B2519E" w:rsidRPr="00B2519E" w:rsidRDefault="00B2519E" w:rsidP="00B2519E">
      <w:r w:rsidRPr="00B2519E">
        <w:t>After the Silent Generation (those 73 years old and older in 2018), Millennials are the most likely of any cohort to blame financial mismanagement as a primary cause of their insolvency, including the overuse of credit.</w:t>
      </w:r>
    </w:p>
    <w:p w14:paraId="474B6D0E" w14:textId="77777777" w:rsidR="00B2519E" w:rsidRPr="00B2519E" w:rsidRDefault="00B2519E" w:rsidP="00B2519E">
      <w:r w:rsidRPr="00B2519E">
        <w:t>Compounding their rising debt levels, Millennials have less income to support their debt. Millennials are working, in fact 88% reported being employed at the time of filing. However, the average Millennial debtor has a take-home pay of $2,431; 3.9% less than the average Joe Debtor and 10.3% less than Generation X. </w:t>
      </w:r>
    </w:p>
    <w:p w14:paraId="33A3955E" w14:textId="77777777" w:rsidR="00B2519E" w:rsidRPr="00B2519E" w:rsidRDefault="00B2519E" w:rsidP="00B2519E">
      <w:r w:rsidRPr="00B2519E">
        <w:t>After paying for housing, transportation and living expenses, Millennials have only $243 available to support unsecured debt repayment (excluding their mortgage and car payment); the lowest of any cohort. This is a problem when the average monthly interest cost on their debt is $1,0334. </w:t>
      </w:r>
    </w:p>
    <w:p w14:paraId="3803B623" w14:textId="77777777" w:rsidR="0066147B" w:rsidRPr="0066147B" w:rsidRDefault="0066147B" w:rsidP="0066147B">
      <w:r>
        <w:rPr>
          <w:noProof/>
        </w:rPr>
        <w:lastRenderedPageBreak/>
        <w:drawing>
          <wp:inline distT="0" distB="0" distL="0" distR="0" wp14:anchorId="28D38486" wp14:editId="46EAC4B2">
            <wp:extent cx="5755640" cy="3399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5640" cy="3399790"/>
                    </a:xfrm>
                    <a:prstGeom prst="rect">
                      <a:avLst/>
                    </a:prstGeom>
                  </pic:spPr>
                </pic:pic>
              </a:graphicData>
            </a:graphic>
          </wp:inline>
        </w:drawing>
      </w:r>
      <w:bookmarkEnd w:id="0"/>
      <w:r w:rsidRPr="0066147B">
        <w:t>Which leads us to the final financial dilemma facing insolvent Millennial debtors. They have no room to maneuver. While the average Millennial debtor income has increased from $2,275 in 2017 to $2,431 in 2018, that growth is not enough to cover debt repayment. In addition, Millennials are less likely to be able to refinance.</w:t>
      </w:r>
    </w:p>
    <w:p w14:paraId="016F3D27" w14:textId="77777777" w:rsidR="0066147B" w:rsidRPr="0066147B" w:rsidRDefault="0066147B" w:rsidP="0066147B">
      <w:r w:rsidRPr="0066147B">
        <w:t>The overall trend since 2013, as monitored monthly by our </w:t>
      </w:r>
      <w:hyperlink r:id="rId16" w:history="1">
        <w:r w:rsidRPr="0066147B">
          <w:rPr>
            <w:rStyle w:val="Hyperlink"/>
          </w:rPr>
          <w:t>Homeowner’s Bankruptcy Index</w:t>
        </w:r>
      </w:hyperlink>
      <w:r w:rsidRPr="0066147B">
        <w:t>, has been a decline in the percentage of insolvencies involving homeowners. In 2018, only 5% of all insolvencies involved homeowners, down from 8% in 2017 and a dramatic drop from an annual average of 29% in 2011.</w:t>
      </w:r>
    </w:p>
    <w:p w14:paraId="2389ABE1" w14:textId="77777777" w:rsidR="0066147B" w:rsidRPr="0066147B" w:rsidRDefault="0066147B" w:rsidP="0066147B">
      <w:r w:rsidRPr="0066147B">
        <w:t>However, Millennials filing insolvency are even less likely to own a home. In 2018, just under 3% of all Millennial debtors owned a home at the time of filing.  Having been largely locked out of homeownership, they are unable to refinance their debt at lower rates through any rising equity in their home. And those who have entered the market likely bought at higher prices, limiting their ability to refinance as well. This is illustrated by the fact that, for the small percentage of Millennial debtors with a home, the average equity available in their home was 7% in 2018, compared to 9% for Generation X and 14% for insolvent Baby Boomers.</w:t>
      </w:r>
    </w:p>
    <w:p w14:paraId="73939EBE" w14:textId="6C50213D" w:rsidR="0066147B" w:rsidRDefault="0066147B" w:rsidP="0066147B">
      <w:r w:rsidRPr="0066147B">
        <w:t>While the single, most significant trend we see in 2018 is the increased risk of filing insolvency faced by Millennials, many of these debt risks apply to all age groups.  Below is a profile of the average insolvent debtor for 2018, by various demographics and credit profile.</w:t>
      </w:r>
    </w:p>
    <w:p w14:paraId="591801BE" w14:textId="1BFC2317" w:rsidR="0066147B" w:rsidRPr="0066147B" w:rsidRDefault="0066147B" w:rsidP="0066147B"/>
    <w:p w14:paraId="1CE2250B" w14:textId="013DD9B9" w:rsidR="00747BBF" w:rsidRPr="00C90D34" w:rsidRDefault="009957B3" w:rsidP="00502A2F">
      <w:pPr>
        <w:pStyle w:val="Heading2"/>
      </w:pPr>
      <w:bookmarkStart w:id="1" w:name="_GoBack"/>
      <w:r>
        <w:t>Joe Debtor: Profile of the Average Insolvency Debtor</w:t>
      </w:r>
    </w:p>
    <w:bookmarkEnd w:id="1"/>
    <w:p w14:paraId="5115A918" w14:textId="20CA3BEB" w:rsidR="000E6DA0" w:rsidRPr="00C90D34" w:rsidRDefault="00FC7D26" w:rsidP="00747BBF">
      <w:pPr>
        <w:rPr>
          <w:lang w:val="en-CA"/>
        </w:rPr>
      </w:pPr>
      <w:r w:rsidRPr="00C90D34">
        <w:rPr>
          <w:lang w:val="en-CA"/>
        </w:rPr>
        <w:t>The table below presents</w:t>
      </w:r>
      <w:r w:rsidR="00203B33" w:rsidRPr="00C90D34">
        <w:rPr>
          <w:lang w:val="en-CA"/>
        </w:rPr>
        <w:t xml:space="preserve"> a snapshot of </w:t>
      </w:r>
      <w:r w:rsidR="00161B20" w:rsidRPr="00C90D34">
        <w:rPr>
          <w:lang w:val="en-CA"/>
        </w:rPr>
        <w:t xml:space="preserve">today’s </w:t>
      </w:r>
      <w:r w:rsidR="00203B33" w:rsidRPr="00C90D34">
        <w:rPr>
          <w:lang w:val="en-CA"/>
        </w:rPr>
        <w:t xml:space="preserve">average </w:t>
      </w:r>
      <w:r w:rsidR="00FE64BA">
        <w:rPr>
          <w:lang w:val="en-CA"/>
        </w:rPr>
        <w:t>insolvency debtor</w:t>
      </w:r>
      <w:r w:rsidR="000D356C" w:rsidRPr="00C90D34">
        <w:rPr>
          <w:lang w:val="en-CA"/>
        </w:rPr>
        <w:t xml:space="preserve"> </w:t>
      </w:r>
      <w:r w:rsidR="00FE64BA">
        <w:rPr>
          <w:lang w:val="en-CA"/>
        </w:rPr>
        <w:t>based on our</w:t>
      </w:r>
      <w:r w:rsidR="00354CBE">
        <w:rPr>
          <w:lang w:val="en-CA"/>
        </w:rPr>
        <w:t xml:space="preserve"> </w:t>
      </w:r>
      <w:r w:rsidR="00FE64BA">
        <w:rPr>
          <w:lang w:val="en-CA"/>
        </w:rPr>
        <w:t>2018</w:t>
      </w:r>
      <w:r w:rsidR="000E6DA0">
        <w:rPr>
          <w:lang w:val="en-CA"/>
        </w:rPr>
        <w:t xml:space="preserve"> annual study,</w:t>
      </w:r>
      <w:r w:rsidR="00354CBE">
        <w:rPr>
          <w:lang w:val="en-CA"/>
        </w:rPr>
        <w:t xml:space="preserve"> as compared with </w:t>
      </w:r>
      <w:r w:rsidR="00FE64BA">
        <w:rPr>
          <w:lang w:val="en-CA"/>
        </w:rPr>
        <w:t>2017</w:t>
      </w:r>
      <w:r w:rsidR="00354CBE">
        <w:rPr>
          <w:lang w:val="en-CA"/>
        </w:rPr>
        <w:t xml:space="preserve">. </w:t>
      </w:r>
    </w:p>
    <w:tbl>
      <w:tblPr>
        <w:tblpPr w:leftFromText="187" w:rightFromText="187" w:bottomFromText="187" w:vertAnchor="text" w:horzAnchor="margin" w:tblpY="196"/>
        <w:tblOverlap w:val="never"/>
        <w:tblW w:w="8870" w:type="dxa"/>
        <w:tblBorders>
          <w:top w:val="single" w:sz="8" w:space="0" w:color="6E9400"/>
          <w:left w:val="single" w:sz="8" w:space="0" w:color="6E9400"/>
          <w:bottom w:val="single" w:sz="8" w:space="0" w:color="6E9400"/>
          <w:right w:val="single" w:sz="8" w:space="0" w:color="6E9400"/>
          <w:insideH w:val="single" w:sz="8" w:space="0" w:color="6E9400"/>
        </w:tblBorders>
        <w:tblCellMar>
          <w:left w:w="115" w:type="dxa"/>
          <w:right w:w="115" w:type="dxa"/>
        </w:tblCellMar>
        <w:tblLook w:val="00A0" w:firstRow="1" w:lastRow="0" w:firstColumn="1" w:lastColumn="0" w:noHBand="0" w:noVBand="0"/>
      </w:tblPr>
      <w:tblGrid>
        <w:gridCol w:w="4075"/>
        <w:gridCol w:w="90"/>
        <w:gridCol w:w="78"/>
        <w:gridCol w:w="1452"/>
        <w:gridCol w:w="720"/>
        <w:gridCol w:w="2455"/>
      </w:tblGrid>
      <w:tr w:rsidR="00747BBF" w:rsidRPr="001B68DA" w14:paraId="32A2771B" w14:textId="77777777" w:rsidTr="00D074F0">
        <w:tc>
          <w:tcPr>
            <w:tcW w:w="4075" w:type="dxa"/>
            <w:tcBorders>
              <w:top w:val="single" w:sz="8" w:space="0" w:color="6E9400"/>
              <w:left w:val="single" w:sz="8" w:space="0" w:color="6E9400"/>
              <w:bottom w:val="single" w:sz="8" w:space="0" w:color="6E9400"/>
              <w:right w:val="nil"/>
            </w:tcBorders>
            <w:shd w:val="clear" w:color="auto" w:fill="6E9400"/>
          </w:tcPr>
          <w:p w14:paraId="4E31D837" w14:textId="77777777" w:rsidR="00747BBF" w:rsidRPr="006037A4" w:rsidRDefault="00747BBF" w:rsidP="00D074F0">
            <w:pPr>
              <w:spacing w:after="0"/>
              <w:rPr>
                <w:b/>
                <w:bCs/>
                <w:color w:val="FFFFFF"/>
                <w:lang w:val="en-CA"/>
              </w:rPr>
            </w:pPr>
            <w:r w:rsidRPr="00EC4EFE">
              <w:rPr>
                <w:b/>
                <w:lang w:val="en-CA"/>
              </w:rPr>
              <w:lastRenderedPageBreak/>
              <w:br w:type="page"/>
            </w:r>
            <w:r w:rsidRPr="00EC4EFE">
              <w:rPr>
                <w:b/>
                <w:lang w:val="en-CA"/>
              </w:rPr>
              <w:br w:type="page"/>
            </w:r>
            <w:r w:rsidRPr="00EC4EFE">
              <w:rPr>
                <w:b/>
                <w:bCs/>
                <w:color w:val="FFFFFF"/>
                <w:lang w:val="en-CA"/>
              </w:rPr>
              <w:t>Joe Debtor</w:t>
            </w:r>
          </w:p>
        </w:tc>
        <w:tc>
          <w:tcPr>
            <w:tcW w:w="2340" w:type="dxa"/>
            <w:gridSpan w:val="4"/>
            <w:tcBorders>
              <w:top w:val="single" w:sz="8" w:space="0" w:color="6E9400"/>
              <w:left w:val="nil"/>
              <w:bottom w:val="single" w:sz="8" w:space="0" w:color="6E9400"/>
              <w:right w:val="nil"/>
            </w:tcBorders>
            <w:shd w:val="clear" w:color="auto" w:fill="6E9400"/>
            <w:vAlign w:val="bottom"/>
          </w:tcPr>
          <w:p w14:paraId="69409510" w14:textId="57A642C2" w:rsidR="00747BBF" w:rsidRPr="00EC4EFE" w:rsidRDefault="00FE64BA" w:rsidP="00D074F0">
            <w:pPr>
              <w:spacing w:after="0"/>
              <w:jc w:val="right"/>
              <w:rPr>
                <w:b/>
                <w:bCs/>
                <w:color w:val="FFFFFF"/>
                <w:lang w:val="en-CA"/>
              </w:rPr>
            </w:pPr>
            <w:r>
              <w:rPr>
                <w:b/>
                <w:bCs/>
                <w:color w:val="FFFFFF"/>
                <w:lang w:val="en-CA"/>
              </w:rPr>
              <w:t>2018</w:t>
            </w:r>
          </w:p>
        </w:tc>
        <w:tc>
          <w:tcPr>
            <w:tcW w:w="2455" w:type="dxa"/>
            <w:tcBorders>
              <w:top w:val="single" w:sz="8" w:space="0" w:color="6E9400"/>
              <w:left w:val="nil"/>
              <w:bottom w:val="single" w:sz="8" w:space="0" w:color="6E9400"/>
              <w:right w:val="single" w:sz="8" w:space="0" w:color="6E9400"/>
            </w:tcBorders>
            <w:shd w:val="clear" w:color="auto" w:fill="6E9400"/>
          </w:tcPr>
          <w:p w14:paraId="6DA373E8" w14:textId="4ADCC262" w:rsidR="00747BBF" w:rsidRPr="006037A4" w:rsidRDefault="00FE64BA" w:rsidP="00D074F0">
            <w:pPr>
              <w:spacing w:after="0"/>
              <w:jc w:val="right"/>
              <w:rPr>
                <w:b/>
                <w:bCs/>
                <w:color w:val="FFFFFF"/>
                <w:lang w:val="en-CA"/>
              </w:rPr>
            </w:pPr>
            <w:r>
              <w:rPr>
                <w:b/>
                <w:bCs/>
                <w:color w:val="FFFFFF"/>
                <w:lang w:val="en-CA"/>
              </w:rPr>
              <w:t>2017</w:t>
            </w:r>
          </w:p>
        </w:tc>
      </w:tr>
      <w:tr w:rsidR="00747BBF" w:rsidRPr="00C90D34" w14:paraId="04B807C4" w14:textId="77777777" w:rsidTr="00D074F0">
        <w:tc>
          <w:tcPr>
            <w:tcW w:w="6415" w:type="dxa"/>
            <w:gridSpan w:val="5"/>
            <w:tcBorders>
              <w:top w:val="single" w:sz="8" w:space="0" w:color="6E9400"/>
              <w:left w:val="single" w:sz="8" w:space="0" w:color="6E9400"/>
              <w:bottom w:val="single" w:sz="8" w:space="0" w:color="6E9400"/>
              <w:right w:val="nil"/>
            </w:tcBorders>
          </w:tcPr>
          <w:p w14:paraId="1DC008F9" w14:textId="003F84EE" w:rsidR="00747BBF" w:rsidRPr="00EC4EFE" w:rsidRDefault="00747BBF" w:rsidP="00D074F0">
            <w:pPr>
              <w:spacing w:after="0"/>
              <w:rPr>
                <w:b/>
                <w:bCs/>
                <w:lang w:val="en-CA"/>
              </w:rPr>
            </w:pPr>
            <w:r w:rsidRPr="00F11E0F">
              <w:rPr>
                <w:b/>
                <w:bCs/>
                <w:lang w:val="en-CA"/>
              </w:rPr>
              <w:t xml:space="preserve">Personal </w:t>
            </w:r>
            <w:r w:rsidR="0086436F">
              <w:rPr>
                <w:b/>
                <w:bCs/>
                <w:lang w:val="en-CA"/>
              </w:rPr>
              <w:t>i</w:t>
            </w:r>
            <w:r w:rsidRPr="00EC4EFE">
              <w:rPr>
                <w:b/>
                <w:bCs/>
                <w:lang w:val="en-CA"/>
              </w:rPr>
              <w:t>nformation:</w:t>
            </w:r>
          </w:p>
        </w:tc>
        <w:tc>
          <w:tcPr>
            <w:tcW w:w="2455" w:type="dxa"/>
            <w:tcBorders>
              <w:top w:val="single" w:sz="8" w:space="0" w:color="6E9400"/>
              <w:left w:val="nil"/>
              <w:bottom w:val="single" w:sz="8" w:space="0" w:color="6E9400"/>
              <w:right w:val="single" w:sz="8" w:space="0" w:color="6E9400"/>
            </w:tcBorders>
          </w:tcPr>
          <w:p w14:paraId="6B24FAD7" w14:textId="77777777" w:rsidR="00747BBF" w:rsidRPr="00C90D34" w:rsidRDefault="00747BBF" w:rsidP="00D074F0">
            <w:pPr>
              <w:spacing w:after="0"/>
              <w:rPr>
                <w:b/>
                <w:bCs/>
                <w:lang w:val="en-CA"/>
              </w:rPr>
            </w:pPr>
          </w:p>
        </w:tc>
      </w:tr>
      <w:tr w:rsidR="00747BBF" w:rsidRPr="00C90D34" w14:paraId="020A37DB" w14:textId="77777777" w:rsidTr="00D074F0">
        <w:tc>
          <w:tcPr>
            <w:tcW w:w="4165" w:type="dxa"/>
            <w:gridSpan w:val="2"/>
            <w:tcBorders>
              <w:top w:val="single" w:sz="8" w:space="0" w:color="6E9400"/>
              <w:left w:val="single" w:sz="8" w:space="0" w:color="6E9400"/>
              <w:bottom w:val="single" w:sz="8" w:space="0" w:color="6E9400"/>
              <w:right w:val="nil"/>
            </w:tcBorders>
          </w:tcPr>
          <w:p w14:paraId="230E8ED8" w14:textId="77777777" w:rsidR="00747BBF" w:rsidRPr="00C90D34" w:rsidRDefault="00747BBF" w:rsidP="00747BBF">
            <w:pPr>
              <w:spacing w:after="0"/>
              <w:rPr>
                <w:b/>
                <w:bCs/>
                <w:lang w:val="en-CA"/>
              </w:rPr>
            </w:pPr>
            <w:r w:rsidRPr="00C90D34">
              <w:rPr>
                <w:bCs/>
                <w:lang w:val="en-CA"/>
              </w:rPr>
              <w:t>Male</w:t>
            </w:r>
          </w:p>
        </w:tc>
        <w:tc>
          <w:tcPr>
            <w:tcW w:w="2250" w:type="dxa"/>
            <w:gridSpan w:val="3"/>
            <w:tcBorders>
              <w:top w:val="single" w:sz="8" w:space="0" w:color="6E9400"/>
              <w:left w:val="nil"/>
              <w:bottom w:val="single" w:sz="8" w:space="0" w:color="6E9400"/>
              <w:right w:val="nil"/>
            </w:tcBorders>
          </w:tcPr>
          <w:p w14:paraId="008AC77E" w14:textId="794DFCB8" w:rsidR="00747BBF" w:rsidRPr="00C90D34" w:rsidRDefault="00FE64BA" w:rsidP="00747BBF">
            <w:pPr>
              <w:spacing w:after="0"/>
              <w:jc w:val="right"/>
              <w:rPr>
                <w:lang w:val="en-CA"/>
              </w:rPr>
            </w:pPr>
            <w:r>
              <w:rPr>
                <w:lang w:val="en-CA"/>
              </w:rPr>
              <w:t>51</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6713EA23" w14:textId="41C66E9B" w:rsidR="00747BBF" w:rsidRPr="00C90D34" w:rsidRDefault="00FE64BA" w:rsidP="00747BBF">
            <w:pPr>
              <w:spacing w:after="0"/>
              <w:jc w:val="right"/>
              <w:rPr>
                <w:lang w:val="en-CA"/>
              </w:rPr>
            </w:pPr>
            <w:r>
              <w:rPr>
                <w:lang w:val="en-CA"/>
              </w:rPr>
              <w:t>52</w:t>
            </w:r>
            <w:r w:rsidR="00747BBF" w:rsidRPr="00C90D34">
              <w:rPr>
                <w:lang w:val="en-CA"/>
              </w:rPr>
              <w:t>%</w:t>
            </w:r>
          </w:p>
        </w:tc>
      </w:tr>
      <w:tr w:rsidR="00747BBF" w:rsidRPr="00C90D34" w14:paraId="5FBA7739" w14:textId="77777777" w:rsidTr="00D074F0">
        <w:tc>
          <w:tcPr>
            <w:tcW w:w="4165" w:type="dxa"/>
            <w:gridSpan w:val="2"/>
            <w:tcBorders>
              <w:top w:val="single" w:sz="8" w:space="0" w:color="6E9400"/>
              <w:left w:val="single" w:sz="8" w:space="0" w:color="6E9400"/>
              <w:bottom w:val="single" w:sz="8" w:space="0" w:color="6E9400"/>
              <w:right w:val="nil"/>
            </w:tcBorders>
          </w:tcPr>
          <w:p w14:paraId="5D0D8427" w14:textId="77777777" w:rsidR="00747BBF" w:rsidRPr="00C90D34" w:rsidRDefault="00747BBF" w:rsidP="00747BBF">
            <w:pPr>
              <w:spacing w:after="0"/>
              <w:rPr>
                <w:bCs/>
                <w:lang w:val="en-CA"/>
              </w:rPr>
            </w:pPr>
            <w:r w:rsidRPr="00C90D34">
              <w:rPr>
                <w:bCs/>
                <w:lang w:val="en-CA"/>
              </w:rPr>
              <w:t>Female</w:t>
            </w:r>
          </w:p>
        </w:tc>
        <w:tc>
          <w:tcPr>
            <w:tcW w:w="2250" w:type="dxa"/>
            <w:gridSpan w:val="3"/>
            <w:tcBorders>
              <w:top w:val="single" w:sz="8" w:space="0" w:color="6E9400"/>
              <w:left w:val="nil"/>
              <w:bottom w:val="single" w:sz="8" w:space="0" w:color="6E9400"/>
              <w:right w:val="nil"/>
            </w:tcBorders>
          </w:tcPr>
          <w:p w14:paraId="6A93C3D4" w14:textId="04F837E0" w:rsidR="00747BBF" w:rsidRPr="00C90D34" w:rsidRDefault="00FE64BA" w:rsidP="00747BBF">
            <w:pPr>
              <w:spacing w:after="0"/>
              <w:jc w:val="right"/>
              <w:rPr>
                <w:lang w:val="en-CA"/>
              </w:rPr>
            </w:pPr>
            <w:r>
              <w:rPr>
                <w:lang w:val="en-CA"/>
              </w:rPr>
              <w:t>49</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41CC8FEE" w14:textId="0995EB5B" w:rsidR="00747BBF" w:rsidRPr="00C90D34" w:rsidRDefault="00FE64BA" w:rsidP="00747BBF">
            <w:pPr>
              <w:spacing w:after="0"/>
              <w:jc w:val="right"/>
              <w:rPr>
                <w:lang w:val="en-CA"/>
              </w:rPr>
            </w:pPr>
            <w:r>
              <w:rPr>
                <w:lang w:val="en-CA"/>
              </w:rPr>
              <w:t>48</w:t>
            </w:r>
            <w:r w:rsidR="00747BBF" w:rsidRPr="00C90D34">
              <w:rPr>
                <w:lang w:val="en-CA"/>
              </w:rPr>
              <w:t>%</w:t>
            </w:r>
          </w:p>
        </w:tc>
      </w:tr>
      <w:tr w:rsidR="00747BBF" w:rsidRPr="00C90D34" w14:paraId="0F0ED832" w14:textId="77777777" w:rsidTr="00D074F0">
        <w:tc>
          <w:tcPr>
            <w:tcW w:w="4165" w:type="dxa"/>
            <w:gridSpan w:val="2"/>
            <w:tcBorders>
              <w:top w:val="single" w:sz="8" w:space="0" w:color="6E9400"/>
              <w:left w:val="single" w:sz="8" w:space="0" w:color="6E9400"/>
              <w:bottom w:val="single" w:sz="8" w:space="0" w:color="6E9400"/>
              <w:right w:val="nil"/>
            </w:tcBorders>
          </w:tcPr>
          <w:p w14:paraId="0F7CB6C7" w14:textId="77777777" w:rsidR="00747BBF" w:rsidRPr="00C90D34" w:rsidRDefault="00747BBF" w:rsidP="00747BBF">
            <w:pPr>
              <w:spacing w:after="0"/>
              <w:rPr>
                <w:b/>
                <w:bCs/>
                <w:lang w:val="en-CA"/>
              </w:rPr>
            </w:pPr>
            <w:r w:rsidRPr="00C90D34">
              <w:rPr>
                <w:bCs/>
                <w:lang w:val="en-CA"/>
              </w:rPr>
              <w:t>Average age</w:t>
            </w:r>
          </w:p>
        </w:tc>
        <w:tc>
          <w:tcPr>
            <w:tcW w:w="2250" w:type="dxa"/>
            <w:gridSpan w:val="3"/>
            <w:tcBorders>
              <w:top w:val="single" w:sz="8" w:space="0" w:color="6E9400"/>
              <w:left w:val="nil"/>
              <w:bottom w:val="single" w:sz="8" w:space="0" w:color="6E9400"/>
              <w:right w:val="nil"/>
            </w:tcBorders>
          </w:tcPr>
          <w:p w14:paraId="3E7CA771" w14:textId="677E74DF" w:rsidR="00747BBF" w:rsidRPr="00C90D34" w:rsidRDefault="00FE64BA" w:rsidP="00747BBF">
            <w:pPr>
              <w:spacing w:after="0"/>
              <w:jc w:val="right"/>
              <w:rPr>
                <w:lang w:val="en-CA"/>
              </w:rPr>
            </w:pPr>
            <w:r>
              <w:rPr>
                <w:lang w:val="en-CA"/>
              </w:rPr>
              <w:t>43</w:t>
            </w:r>
          </w:p>
        </w:tc>
        <w:tc>
          <w:tcPr>
            <w:tcW w:w="2455" w:type="dxa"/>
            <w:tcBorders>
              <w:top w:val="single" w:sz="8" w:space="0" w:color="6E9400"/>
              <w:left w:val="nil"/>
              <w:bottom w:val="single" w:sz="8" w:space="0" w:color="6E9400"/>
              <w:right w:val="single" w:sz="8" w:space="0" w:color="6E9400"/>
            </w:tcBorders>
          </w:tcPr>
          <w:p w14:paraId="4F3067E7" w14:textId="4D41578C" w:rsidR="00747BBF" w:rsidRPr="00C90D34" w:rsidRDefault="00FE64BA" w:rsidP="00747BBF">
            <w:pPr>
              <w:spacing w:after="0"/>
              <w:jc w:val="right"/>
              <w:rPr>
                <w:lang w:val="en-CA"/>
              </w:rPr>
            </w:pPr>
            <w:r>
              <w:rPr>
                <w:lang w:val="en-CA"/>
              </w:rPr>
              <w:t>43</w:t>
            </w:r>
          </w:p>
        </w:tc>
      </w:tr>
      <w:tr w:rsidR="00747BBF" w:rsidRPr="00C90D34" w14:paraId="2B60DE0E" w14:textId="77777777" w:rsidTr="00D074F0">
        <w:tc>
          <w:tcPr>
            <w:tcW w:w="4165" w:type="dxa"/>
            <w:gridSpan w:val="2"/>
            <w:tcBorders>
              <w:top w:val="single" w:sz="8" w:space="0" w:color="6E9400"/>
              <w:left w:val="single" w:sz="8" w:space="0" w:color="6E9400"/>
              <w:bottom w:val="single" w:sz="8" w:space="0" w:color="6E9400"/>
              <w:right w:val="nil"/>
            </w:tcBorders>
          </w:tcPr>
          <w:p w14:paraId="4788B062" w14:textId="77777777" w:rsidR="00747BBF" w:rsidRPr="00C90D34" w:rsidRDefault="00747BBF" w:rsidP="00747BBF">
            <w:pPr>
              <w:spacing w:after="0"/>
              <w:rPr>
                <w:b/>
                <w:bCs/>
                <w:lang w:val="en-CA"/>
              </w:rPr>
            </w:pPr>
            <w:r w:rsidRPr="00C90D34">
              <w:rPr>
                <w:bCs/>
                <w:lang w:val="en-CA"/>
              </w:rPr>
              <w:t>Marital status</w:t>
            </w:r>
          </w:p>
        </w:tc>
        <w:tc>
          <w:tcPr>
            <w:tcW w:w="2250" w:type="dxa"/>
            <w:gridSpan w:val="3"/>
            <w:tcBorders>
              <w:top w:val="single" w:sz="8" w:space="0" w:color="6E9400"/>
              <w:left w:val="nil"/>
              <w:bottom w:val="single" w:sz="8" w:space="0" w:color="6E9400"/>
              <w:right w:val="nil"/>
            </w:tcBorders>
          </w:tcPr>
          <w:p w14:paraId="61E37E9C" w14:textId="77777777" w:rsidR="00747BBF" w:rsidRPr="00C90D34" w:rsidRDefault="00747BBF" w:rsidP="00747BBF">
            <w:pPr>
              <w:spacing w:after="0"/>
              <w:jc w:val="right"/>
              <w:rPr>
                <w:lang w:val="en-CA"/>
              </w:rPr>
            </w:pPr>
          </w:p>
        </w:tc>
        <w:tc>
          <w:tcPr>
            <w:tcW w:w="2455" w:type="dxa"/>
            <w:tcBorders>
              <w:top w:val="single" w:sz="8" w:space="0" w:color="6E9400"/>
              <w:left w:val="nil"/>
              <w:bottom w:val="single" w:sz="8" w:space="0" w:color="6E9400"/>
              <w:right w:val="single" w:sz="8" w:space="0" w:color="6E9400"/>
            </w:tcBorders>
          </w:tcPr>
          <w:p w14:paraId="6F7D0CCC" w14:textId="77777777" w:rsidR="00747BBF" w:rsidRPr="00C90D34" w:rsidRDefault="00747BBF" w:rsidP="00747BBF">
            <w:pPr>
              <w:spacing w:after="0"/>
              <w:jc w:val="right"/>
              <w:rPr>
                <w:lang w:val="en-CA"/>
              </w:rPr>
            </w:pPr>
          </w:p>
        </w:tc>
      </w:tr>
      <w:tr w:rsidR="00747BBF" w:rsidRPr="00C90D34" w14:paraId="649B1F58" w14:textId="77777777" w:rsidTr="00D074F0">
        <w:tc>
          <w:tcPr>
            <w:tcW w:w="4165" w:type="dxa"/>
            <w:gridSpan w:val="2"/>
            <w:tcBorders>
              <w:top w:val="single" w:sz="8" w:space="0" w:color="6E9400"/>
              <w:left w:val="single" w:sz="8" w:space="0" w:color="6E9400"/>
              <w:bottom w:val="single" w:sz="8" w:space="0" w:color="6E9400"/>
              <w:right w:val="nil"/>
            </w:tcBorders>
          </w:tcPr>
          <w:p w14:paraId="3E3380F3" w14:textId="77777777" w:rsidR="00747BBF" w:rsidRPr="00C90D34" w:rsidRDefault="00747BBF" w:rsidP="00747BBF">
            <w:pPr>
              <w:tabs>
                <w:tab w:val="left" w:pos="360"/>
              </w:tabs>
              <w:spacing w:after="0"/>
              <w:ind w:left="360"/>
              <w:rPr>
                <w:b/>
                <w:bCs/>
                <w:lang w:val="en-CA"/>
              </w:rPr>
            </w:pPr>
            <w:r w:rsidRPr="00C90D34">
              <w:rPr>
                <w:bCs/>
                <w:lang w:val="en-CA"/>
              </w:rPr>
              <w:t>Married/Common-law</w:t>
            </w:r>
          </w:p>
        </w:tc>
        <w:tc>
          <w:tcPr>
            <w:tcW w:w="2250" w:type="dxa"/>
            <w:gridSpan w:val="3"/>
            <w:tcBorders>
              <w:top w:val="single" w:sz="8" w:space="0" w:color="6E9400"/>
              <w:left w:val="nil"/>
              <w:bottom w:val="single" w:sz="8" w:space="0" w:color="6E9400"/>
              <w:right w:val="nil"/>
            </w:tcBorders>
          </w:tcPr>
          <w:p w14:paraId="58E6B727" w14:textId="3CC6304C" w:rsidR="00747BBF" w:rsidRPr="00C90D34" w:rsidRDefault="00FE64BA" w:rsidP="00747BBF">
            <w:pPr>
              <w:spacing w:after="0"/>
              <w:jc w:val="right"/>
              <w:rPr>
                <w:lang w:val="en-CA"/>
              </w:rPr>
            </w:pPr>
            <w:r>
              <w:rPr>
                <w:lang w:val="en-CA"/>
              </w:rPr>
              <w:t>32</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260D3AF2" w14:textId="5A05A3EB" w:rsidR="00747BBF" w:rsidRPr="00C90D34" w:rsidRDefault="00FE64BA" w:rsidP="00747BBF">
            <w:pPr>
              <w:spacing w:after="0"/>
              <w:jc w:val="right"/>
              <w:rPr>
                <w:lang w:val="en-CA"/>
              </w:rPr>
            </w:pPr>
            <w:r>
              <w:rPr>
                <w:lang w:val="en-CA"/>
              </w:rPr>
              <w:t>34</w:t>
            </w:r>
            <w:r w:rsidR="00747BBF" w:rsidRPr="00C90D34">
              <w:rPr>
                <w:lang w:val="en-CA"/>
              </w:rPr>
              <w:t>%</w:t>
            </w:r>
          </w:p>
        </w:tc>
      </w:tr>
      <w:tr w:rsidR="00747BBF" w:rsidRPr="00C90D34" w14:paraId="7844B487" w14:textId="77777777" w:rsidTr="00D074F0">
        <w:tc>
          <w:tcPr>
            <w:tcW w:w="4165" w:type="dxa"/>
            <w:gridSpan w:val="2"/>
            <w:tcBorders>
              <w:top w:val="single" w:sz="8" w:space="0" w:color="6E9400"/>
              <w:left w:val="single" w:sz="8" w:space="0" w:color="6E9400"/>
              <w:bottom w:val="single" w:sz="8" w:space="0" w:color="6E9400"/>
              <w:right w:val="nil"/>
            </w:tcBorders>
          </w:tcPr>
          <w:p w14:paraId="2E0E4D1C" w14:textId="77777777" w:rsidR="00747BBF" w:rsidRPr="00C90D34" w:rsidRDefault="00747BBF" w:rsidP="00747BBF">
            <w:pPr>
              <w:tabs>
                <w:tab w:val="left" w:pos="360"/>
              </w:tabs>
              <w:spacing w:after="0"/>
              <w:ind w:left="360"/>
              <w:rPr>
                <w:b/>
                <w:bCs/>
                <w:lang w:val="en-CA"/>
              </w:rPr>
            </w:pPr>
            <w:r w:rsidRPr="00C90D34">
              <w:rPr>
                <w:bCs/>
                <w:lang w:val="en-CA"/>
              </w:rPr>
              <w:t>Divorced or Separated</w:t>
            </w:r>
          </w:p>
        </w:tc>
        <w:tc>
          <w:tcPr>
            <w:tcW w:w="2250" w:type="dxa"/>
            <w:gridSpan w:val="3"/>
            <w:tcBorders>
              <w:top w:val="single" w:sz="8" w:space="0" w:color="6E9400"/>
              <w:left w:val="nil"/>
              <w:bottom w:val="single" w:sz="8" w:space="0" w:color="6E9400"/>
              <w:right w:val="nil"/>
            </w:tcBorders>
          </w:tcPr>
          <w:p w14:paraId="75B0F25A" w14:textId="15117CCE" w:rsidR="00747BBF" w:rsidRPr="00C90D34" w:rsidRDefault="00FE64BA" w:rsidP="00747BBF">
            <w:pPr>
              <w:spacing w:after="0"/>
              <w:jc w:val="right"/>
              <w:rPr>
                <w:lang w:val="en-CA"/>
              </w:rPr>
            </w:pPr>
            <w:r>
              <w:rPr>
                <w:lang w:val="en-CA"/>
              </w:rPr>
              <w:t>23</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204E55F7" w14:textId="3A652EBA" w:rsidR="00747BBF" w:rsidRPr="00C90D34" w:rsidRDefault="00FE64BA" w:rsidP="00747BBF">
            <w:pPr>
              <w:spacing w:after="0"/>
              <w:jc w:val="right"/>
              <w:rPr>
                <w:lang w:val="en-CA"/>
              </w:rPr>
            </w:pPr>
            <w:r>
              <w:rPr>
                <w:lang w:val="en-CA"/>
              </w:rPr>
              <w:t>24</w:t>
            </w:r>
            <w:r w:rsidR="00747BBF" w:rsidRPr="00C90D34">
              <w:rPr>
                <w:lang w:val="en-CA"/>
              </w:rPr>
              <w:t>%</w:t>
            </w:r>
          </w:p>
        </w:tc>
      </w:tr>
      <w:tr w:rsidR="00747BBF" w:rsidRPr="00C90D34" w14:paraId="4C32C651" w14:textId="77777777" w:rsidTr="00D074F0">
        <w:tc>
          <w:tcPr>
            <w:tcW w:w="4165" w:type="dxa"/>
            <w:gridSpan w:val="2"/>
            <w:tcBorders>
              <w:top w:val="single" w:sz="8" w:space="0" w:color="6E9400"/>
              <w:left w:val="single" w:sz="8" w:space="0" w:color="6E9400"/>
              <w:bottom w:val="single" w:sz="8" w:space="0" w:color="6E9400"/>
              <w:right w:val="nil"/>
            </w:tcBorders>
          </w:tcPr>
          <w:p w14:paraId="7ECE8A09" w14:textId="77777777" w:rsidR="00747BBF" w:rsidRPr="00C90D34" w:rsidRDefault="00747BBF" w:rsidP="00747BBF">
            <w:pPr>
              <w:tabs>
                <w:tab w:val="left" w:pos="360"/>
              </w:tabs>
              <w:spacing w:after="0"/>
              <w:ind w:left="360"/>
              <w:rPr>
                <w:b/>
                <w:bCs/>
                <w:lang w:val="en-CA"/>
              </w:rPr>
            </w:pPr>
            <w:r w:rsidRPr="00C90D34">
              <w:rPr>
                <w:bCs/>
                <w:lang w:val="en-CA"/>
              </w:rPr>
              <w:t>Widowed</w:t>
            </w:r>
          </w:p>
        </w:tc>
        <w:tc>
          <w:tcPr>
            <w:tcW w:w="2250" w:type="dxa"/>
            <w:gridSpan w:val="3"/>
            <w:tcBorders>
              <w:top w:val="single" w:sz="8" w:space="0" w:color="6E9400"/>
              <w:left w:val="nil"/>
              <w:bottom w:val="single" w:sz="8" w:space="0" w:color="6E9400"/>
              <w:right w:val="nil"/>
            </w:tcBorders>
          </w:tcPr>
          <w:p w14:paraId="54928A28" w14:textId="77777777" w:rsidR="00747BBF" w:rsidRPr="00C90D34" w:rsidRDefault="001A47B2" w:rsidP="00747BBF">
            <w:pPr>
              <w:spacing w:after="0"/>
              <w:jc w:val="right"/>
              <w:rPr>
                <w:lang w:val="en-CA"/>
              </w:rPr>
            </w:pPr>
            <w:r w:rsidRPr="00C90D34">
              <w:rPr>
                <w:lang w:val="en-CA"/>
              </w:rPr>
              <w:t>3</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14CB095C" w14:textId="614F31A1" w:rsidR="00747BBF" w:rsidRPr="00C90D34" w:rsidRDefault="00FE64BA" w:rsidP="00747BBF">
            <w:pPr>
              <w:spacing w:after="0"/>
              <w:jc w:val="right"/>
              <w:rPr>
                <w:lang w:val="en-CA"/>
              </w:rPr>
            </w:pPr>
            <w:r>
              <w:rPr>
                <w:lang w:val="en-CA"/>
              </w:rPr>
              <w:t>3</w:t>
            </w:r>
            <w:r w:rsidR="00747BBF" w:rsidRPr="00C90D34">
              <w:rPr>
                <w:lang w:val="en-CA"/>
              </w:rPr>
              <w:t>%</w:t>
            </w:r>
          </w:p>
        </w:tc>
      </w:tr>
      <w:tr w:rsidR="00747BBF" w:rsidRPr="00C90D34" w14:paraId="0899C83F" w14:textId="77777777" w:rsidTr="00F11E0F">
        <w:tc>
          <w:tcPr>
            <w:tcW w:w="4243" w:type="dxa"/>
            <w:gridSpan w:val="3"/>
            <w:tcBorders>
              <w:top w:val="single" w:sz="8" w:space="0" w:color="6E9400"/>
              <w:left w:val="single" w:sz="8" w:space="0" w:color="6E9400"/>
              <w:bottom w:val="single" w:sz="8" w:space="0" w:color="6E9400"/>
              <w:right w:val="nil"/>
            </w:tcBorders>
          </w:tcPr>
          <w:p w14:paraId="52EEFE98" w14:textId="77777777" w:rsidR="00747BBF" w:rsidRPr="00C90D34" w:rsidRDefault="00747BBF" w:rsidP="00747BBF">
            <w:pPr>
              <w:tabs>
                <w:tab w:val="left" w:pos="360"/>
              </w:tabs>
              <w:spacing w:after="0"/>
              <w:ind w:left="360"/>
              <w:rPr>
                <w:b/>
                <w:bCs/>
                <w:lang w:val="en-CA"/>
              </w:rPr>
            </w:pPr>
            <w:r w:rsidRPr="00C90D34">
              <w:rPr>
                <w:bCs/>
                <w:lang w:val="en-CA"/>
              </w:rPr>
              <w:t>Single</w:t>
            </w:r>
          </w:p>
        </w:tc>
        <w:tc>
          <w:tcPr>
            <w:tcW w:w="2172" w:type="dxa"/>
            <w:gridSpan w:val="2"/>
            <w:tcBorders>
              <w:top w:val="single" w:sz="8" w:space="0" w:color="6E9400"/>
              <w:left w:val="nil"/>
              <w:bottom w:val="single" w:sz="8" w:space="0" w:color="6E9400"/>
              <w:right w:val="nil"/>
            </w:tcBorders>
          </w:tcPr>
          <w:p w14:paraId="35AA0003" w14:textId="2C529CDA" w:rsidR="00747BBF" w:rsidRPr="00C90D34" w:rsidRDefault="00FE64BA" w:rsidP="00747BBF">
            <w:pPr>
              <w:spacing w:after="0"/>
              <w:jc w:val="right"/>
              <w:rPr>
                <w:lang w:val="en-CA"/>
              </w:rPr>
            </w:pPr>
            <w:r>
              <w:rPr>
                <w:lang w:val="en-CA"/>
              </w:rPr>
              <w:t>42</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55CF310E" w14:textId="2C932474" w:rsidR="00747BBF" w:rsidRPr="00C90D34" w:rsidRDefault="00FE64BA" w:rsidP="00747BBF">
            <w:pPr>
              <w:spacing w:after="0"/>
              <w:jc w:val="right"/>
              <w:rPr>
                <w:lang w:val="en-CA"/>
              </w:rPr>
            </w:pPr>
            <w:r>
              <w:rPr>
                <w:lang w:val="en-CA"/>
              </w:rPr>
              <w:t>39</w:t>
            </w:r>
            <w:r w:rsidR="00747BBF" w:rsidRPr="00C90D34">
              <w:rPr>
                <w:lang w:val="en-CA"/>
              </w:rPr>
              <w:t>%</w:t>
            </w:r>
          </w:p>
        </w:tc>
      </w:tr>
      <w:tr w:rsidR="00747BBF" w:rsidRPr="00C90D34" w14:paraId="0DEFBC26" w14:textId="77777777" w:rsidTr="00F11E0F">
        <w:tc>
          <w:tcPr>
            <w:tcW w:w="4243" w:type="dxa"/>
            <w:gridSpan w:val="3"/>
            <w:tcBorders>
              <w:top w:val="single" w:sz="8" w:space="0" w:color="6E9400"/>
              <w:left w:val="single" w:sz="8" w:space="0" w:color="6E9400"/>
              <w:bottom w:val="single" w:sz="8" w:space="0" w:color="6E9400"/>
              <w:right w:val="nil"/>
            </w:tcBorders>
          </w:tcPr>
          <w:p w14:paraId="0EA3CA6B" w14:textId="77777777" w:rsidR="00747BBF" w:rsidRPr="00C90D34" w:rsidRDefault="00747BBF" w:rsidP="00747BBF">
            <w:pPr>
              <w:spacing w:after="0"/>
              <w:rPr>
                <w:b/>
                <w:bCs/>
                <w:lang w:val="en-CA"/>
              </w:rPr>
            </w:pPr>
            <w:r w:rsidRPr="00C90D34">
              <w:rPr>
                <w:bCs/>
                <w:lang w:val="en-CA"/>
              </w:rPr>
              <w:t>Average family size (including debtor)</w:t>
            </w:r>
          </w:p>
        </w:tc>
        <w:tc>
          <w:tcPr>
            <w:tcW w:w="2172" w:type="dxa"/>
            <w:gridSpan w:val="2"/>
            <w:tcBorders>
              <w:top w:val="single" w:sz="8" w:space="0" w:color="6E9400"/>
              <w:left w:val="nil"/>
              <w:bottom w:val="single" w:sz="8" w:space="0" w:color="6E9400"/>
              <w:right w:val="nil"/>
            </w:tcBorders>
          </w:tcPr>
          <w:p w14:paraId="3C9920D2" w14:textId="27B6F5B8" w:rsidR="00747BBF" w:rsidRPr="00C90D34" w:rsidRDefault="00FE64BA" w:rsidP="00747BBF">
            <w:pPr>
              <w:spacing w:after="0"/>
              <w:jc w:val="right"/>
              <w:rPr>
                <w:lang w:val="en-CA"/>
              </w:rPr>
            </w:pPr>
            <w:r>
              <w:rPr>
                <w:lang w:val="en-CA"/>
              </w:rPr>
              <w:t>2.0</w:t>
            </w:r>
          </w:p>
        </w:tc>
        <w:tc>
          <w:tcPr>
            <w:tcW w:w="2455" w:type="dxa"/>
            <w:tcBorders>
              <w:top w:val="single" w:sz="8" w:space="0" w:color="6E9400"/>
              <w:left w:val="nil"/>
              <w:bottom w:val="single" w:sz="8" w:space="0" w:color="6E9400"/>
              <w:right w:val="single" w:sz="8" w:space="0" w:color="6E9400"/>
            </w:tcBorders>
          </w:tcPr>
          <w:p w14:paraId="598CE9BC" w14:textId="3D23BBE4" w:rsidR="00747BBF" w:rsidRPr="00C90D34" w:rsidRDefault="00FE64BA" w:rsidP="00747BBF">
            <w:pPr>
              <w:spacing w:after="0"/>
              <w:jc w:val="right"/>
              <w:rPr>
                <w:lang w:val="en-CA"/>
              </w:rPr>
            </w:pPr>
            <w:r>
              <w:rPr>
                <w:lang w:val="en-CA"/>
              </w:rPr>
              <w:t>2.0</w:t>
            </w:r>
          </w:p>
        </w:tc>
      </w:tr>
      <w:tr w:rsidR="00747BBF" w:rsidRPr="00C90D34" w14:paraId="0D59140A" w14:textId="77777777" w:rsidTr="00F11E0F">
        <w:tc>
          <w:tcPr>
            <w:tcW w:w="4243" w:type="dxa"/>
            <w:gridSpan w:val="3"/>
            <w:tcBorders>
              <w:top w:val="single" w:sz="8" w:space="0" w:color="6E9400"/>
              <w:left w:val="single" w:sz="8" w:space="0" w:color="6E9400"/>
              <w:bottom w:val="single" w:sz="8" w:space="0" w:color="6E9400"/>
              <w:right w:val="nil"/>
            </w:tcBorders>
          </w:tcPr>
          <w:p w14:paraId="4111B208" w14:textId="1FDB3D09" w:rsidR="00747BBF" w:rsidRPr="00C90D34" w:rsidRDefault="00747BBF" w:rsidP="00747BBF">
            <w:pPr>
              <w:spacing w:after="0"/>
              <w:rPr>
                <w:b/>
                <w:bCs/>
                <w:lang w:val="en-CA"/>
              </w:rPr>
            </w:pPr>
            <w:r w:rsidRPr="00C90D34">
              <w:rPr>
                <w:bCs/>
                <w:lang w:val="en-CA"/>
              </w:rPr>
              <w:t>Single</w:t>
            </w:r>
            <w:r w:rsidR="00571E9D">
              <w:rPr>
                <w:bCs/>
                <w:lang w:val="en-CA"/>
              </w:rPr>
              <w:t>-</w:t>
            </w:r>
            <w:r w:rsidRPr="00C90D34">
              <w:rPr>
                <w:bCs/>
                <w:lang w:val="en-CA"/>
              </w:rPr>
              <w:t>person household</w:t>
            </w:r>
          </w:p>
        </w:tc>
        <w:tc>
          <w:tcPr>
            <w:tcW w:w="2172" w:type="dxa"/>
            <w:gridSpan w:val="2"/>
            <w:tcBorders>
              <w:top w:val="single" w:sz="8" w:space="0" w:color="6E9400"/>
              <w:left w:val="nil"/>
              <w:bottom w:val="single" w:sz="8" w:space="0" w:color="6E9400"/>
              <w:right w:val="nil"/>
            </w:tcBorders>
          </w:tcPr>
          <w:p w14:paraId="5EE7A789" w14:textId="1C6DFA53" w:rsidR="00747BBF" w:rsidRPr="00C90D34" w:rsidRDefault="00FE64BA" w:rsidP="00747BBF">
            <w:pPr>
              <w:spacing w:after="0"/>
              <w:jc w:val="right"/>
              <w:rPr>
                <w:lang w:val="en-CA"/>
              </w:rPr>
            </w:pPr>
            <w:r>
              <w:rPr>
                <w:lang w:val="en-CA"/>
              </w:rPr>
              <w:t>52</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7813094F" w14:textId="6F65FDAF" w:rsidR="00747BBF" w:rsidRPr="00C90D34" w:rsidRDefault="00FE64BA" w:rsidP="00747BBF">
            <w:pPr>
              <w:spacing w:after="0"/>
              <w:jc w:val="right"/>
              <w:rPr>
                <w:lang w:val="en-CA"/>
              </w:rPr>
            </w:pPr>
            <w:r>
              <w:rPr>
                <w:lang w:val="en-CA"/>
              </w:rPr>
              <w:t>53</w:t>
            </w:r>
            <w:r w:rsidR="00747BBF" w:rsidRPr="00C90D34">
              <w:rPr>
                <w:lang w:val="en-CA"/>
              </w:rPr>
              <w:t>%</w:t>
            </w:r>
          </w:p>
        </w:tc>
      </w:tr>
      <w:tr w:rsidR="00747BBF" w:rsidRPr="00C90D34" w14:paraId="474E51F3" w14:textId="77777777" w:rsidTr="00F11E0F">
        <w:tc>
          <w:tcPr>
            <w:tcW w:w="4243" w:type="dxa"/>
            <w:gridSpan w:val="3"/>
            <w:tcBorders>
              <w:top w:val="single" w:sz="8" w:space="0" w:color="6E9400"/>
              <w:left w:val="single" w:sz="8" w:space="0" w:color="6E9400"/>
              <w:bottom w:val="single" w:sz="8" w:space="0" w:color="6E9400"/>
              <w:right w:val="nil"/>
            </w:tcBorders>
          </w:tcPr>
          <w:p w14:paraId="2D626C52" w14:textId="79678238" w:rsidR="00747BBF" w:rsidRPr="00C90D34" w:rsidRDefault="00747BBF" w:rsidP="00747BBF">
            <w:pPr>
              <w:spacing w:after="0"/>
              <w:rPr>
                <w:b/>
                <w:bCs/>
                <w:lang w:val="en-CA"/>
              </w:rPr>
            </w:pPr>
            <w:r w:rsidRPr="00C90D34">
              <w:rPr>
                <w:bCs/>
                <w:lang w:val="en-CA"/>
              </w:rPr>
              <w:t>Likelihood of having dependant</w:t>
            </w:r>
            <w:r w:rsidR="00F11E0F">
              <w:rPr>
                <w:bCs/>
                <w:lang w:val="en-CA"/>
              </w:rPr>
              <w:t>(s)</w:t>
            </w:r>
          </w:p>
        </w:tc>
        <w:tc>
          <w:tcPr>
            <w:tcW w:w="2172" w:type="dxa"/>
            <w:gridSpan w:val="2"/>
            <w:tcBorders>
              <w:top w:val="single" w:sz="8" w:space="0" w:color="6E9400"/>
              <w:left w:val="nil"/>
              <w:bottom w:val="single" w:sz="8" w:space="0" w:color="6E9400"/>
              <w:right w:val="nil"/>
            </w:tcBorders>
          </w:tcPr>
          <w:p w14:paraId="33E25178" w14:textId="345FC504" w:rsidR="00747BBF" w:rsidRPr="00C90D34" w:rsidRDefault="00FE64BA" w:rsidP="00747BBF">
            <w:pPr>
              <w:spacing w:after="0"/>
              <w:jc w:val="right"/>
              <w:rPr>
                <w:lang w:val="en-CA"/>
              </w:rPr>
            </w:pPr>
            <w:r>
              <w:rPr>
                <w:lang w:val="en-CA"/>
              </w:rPr>
              <w:t>35</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0C5C2D9B" w14:textId="171D23AE" w:rsidR="00747BBF" w:rsidRPr="00C90D34" w:rsidRDefault="00FE64BA" w:rsidP="00747BBF">
            <w:pPr>
              <w:spacing w:after="0"/>
              <w:jc w:val="right"/>
              <w:rPr>
                <w:lang w:val="en-CA"/>
              </w:rPr>
            </w:pPr>
            <w:r>
              <w:rPr>
                <w:lang w:val="en-CA"/>
              </w:rPr>
              <w:t>34</w:t>
            </w:r>
            <w:r w:rsidR="00747BBF" w:rsidRPr="00C90D34">
              <w:rPr>
                <w:lang w:val="en-CA"/>
              </w:rPr>
              <w:t>%</w:t>
            </w:r>
          </w:p>
        </w:tc>
      </w:tr>
      <w:tr w:rsidR="00747BBF" w:rsidRPr="00C90D34" w14:paraId="46F451C7" w14:textId="77777777" w:rsidTr="00F11E0F">
        <w:tc>
          <w:tcPr>
            <w:tcW w:w="4243" w:type="dxa"/>
            <w:gridSpan w:val="3"/>
            <w:tcBorders>
              <w:top w:val="single" w:sz="8" w:space="0" w:color="6E9400"/>
              <w:left w:val="single" w:sz="8" w:space="0" w:color="6E9400"/>
              <w:bottom w:val="single" w:sz="8" w:space="0" w:color="6E9400"/>
              <w:right w:val="nil"/>
            </w:tcBorders>
          </w:tcPr>
          <w:p w14:paraId="22AAAB6D" w14:textId="1A9B9D66" w:rsidR="00747BBF" w:rsidRPr="00C90D34" w:rsidRDefault="00F11E0F" w:rsidP="00747BBF">
            <w:pPr>
              <w:spacing w:after="0"/>
              <w:rPr>
                <w:bCs/>
                <w:lang w:val="en-CA"/>
              </w:rPr>
            </w:pPr>
            <w:r>
              <w:rPr>
                <w:bCs/>
                <w:lang w:val="en-CA"/>
              </w:rPr>
              <w:t>Likelihood of being a</w:t>
            </w:r>
            <w:r w:rsidRPr="00C90D34">
              <w:rPr>
                <w:bCs/>
                <w:lang w:val="en-CA"/>
              </w:rPr>
              <w:t xml:space="preserve"> </w:t>
            </w:r>
            <w:proofErr w:type="gramStart"/>
            <w:r w:rsidR="00845879">
              <w:rPr>
                <w:bCs/>
                <w:lang w:val="en-CA"/>
              </w:rPr>
              <w:t>lone-parent</w:t>
            </w:r>
            <w:proofErr w:type="gramEnd"/>
          </w:p>
        </w:tc>
        <w:tc>
          <w:tcPr>
            <w:tcW w:w="2172" w:type="dxa"/>
            <w:gridSpan w:val="2"/>
            <w:tcBorders>
              <w:top w:val="single" w:sz="8" w:space="0" w:color="6E9400"/>
              <w:left w:val="nil"/>
              <w:bottom w:val="single" w:sz="8" w:space="0" w:color="6E9400"/>
              <w:right w:val="nil"/>
            </w:tcBorders>
          </w:tcPr>
          <w:p w14:paraId="087F2767" w14:textId="77777777" w:rsidR="00747BBF" w:rsidRPr="00C90D34" w:rsidRDefault="00747BBF" w:rsidP="00747BBF">
            <w:pPr>
              <w:spacing w:after="0"/>
              <w:jc w:val="right"/>
              <w:rPr>
                <w:lang w:val="en-CA"/>
              </w:rPr>
            </w:pPr>
            <w:r w:rsidRPr="00C90D34">
              <w:rPr>
                <w:lang w:val="en-CA"/>
              </w:rPr>
              <w:t>1</w:t>
            </w:r>
            <w:r w:rsidR="001A47B2" w:rsidRPr="00C90D34">
              <w:rPr>
                <w:lang w:val="en-CA"/>
              </w:rPr>
              <w:t>7</w:t>
            </w:r>
            <w:r w:rsidRPr="00C90D34">
              <w:rPr>
                <w:lang w:val="en-CA"/>
              </w:rPr>
              <w:t>%</w:t>
            </w:r>
          </w:p>
        </w:tc>
        <w:tc>
          <w:tcPr>
            <w:tcW w:w="2455" w:type="dxa"/>
            <w:tcBorders>
              <w:top w:val="single" w:sz="8" w:space="0" w:color="6E9400"/>
              <w:left w:val="nil"/>
              <w:bottom w:val="single" w:sz="8" w:space="0" w:color="6E9400"/>
              <w:right w:val="single" w:sz="8" w:space="0" w:color="6E9400"/>
            </w:tcBorders>
          </w:tcPr>
          <w:p w14:paraId="111753BE" w14:textId="1CBD8B79" w:rsidR="00747BBF" w:rsidRPr="00C90D34" w:rsidRDefault="00FE64BA" w:rsidP="00747BBF">
            <w:pPr>
              <w:spacing w:after="0"/>
              <w:jc w:val="right"/>
              <w:rPr>
                <w:lang w:val="en-CA"/>
              </w:rPr>
            </w:pPr>
            <w:r>
              <w:rPr>
                <w:lang w:val="en-CA"/>
              </w:rPr>
              <w:t>15</w:t>
            </w:r>
            <w:r w:rsidR="00747BBF" w:rsidRPr="00C90D34">
              <w:rPr>
                <w:lang w:val="en-CA"/>
              </w:rPr>
              <w:t>%</w:t>
            </w:r>
          </w:p>
        </w:tc>
      </w:tr>
      <w:tr w:rsidR="00747BBF" w:rsidRPr="00C90D34" w14:paraId="72F1A0B5" w14:textId="77777777" w:rsidTr="00F11E0F">
        <w:tc>
          <w:tcPr>
            <w:tcW w:w="4243" w:type="dxa"/>
            <w:gridSpan w:val="3"/>
            <w:tcBorders>
              <w:top w:val="single" w:sz="8" w:space="0" w:color="6E9400"/>
              <w:left w:val="single" w:sz="8" w:space="0" w:color="6E9400"/>
              <w:bottom w:val="single" w:sz="8" w:space="0" w:color="6E9400"/>
              <w:right w:val="nil"/>
            </w:tcBorders>
          </w:tcPr>
          <w:p w14:paraId="25F20A26" w14:textId="6A5DAEAB" w:rsidR="00747BBF" w:rsidRPr="00C90D34" w:rsidRDefault="00747BBF" w:rsidP="00747BBF">
            <w:pPr>
              <w:spacing w:after="0"/>
              <w:rPr>
                <w:b/>
                <w:bCs/>
                <w:lang w:val="en-CA"/>
              </w:rPr>
            </w:pPr>
            <w:r w:rsidRPr="00C90D34">
              <w:rPr>
                <w:bCs/>
                <w:lang w:val="en-CA"/>
              </w:rPr>
              <w:t>Average monthly income</w:t>
            </w:r>
            <w:r w:rsidR="00FE64BA">
              <w:rPr>
                <w:bCs/>
                <w:lang w:val="en-CA"/>
              </w:rPr>
              <w:t xml:space="preserve"> (debtor)</w:t>
            </w:r>
          </w:p>
        </w:tc>
        <w:tc>
          <w:tcPr>
            <w:tcW w:w="2172" w:type="dxa"/>
            <w:gridSpan w:val="2"/>
            <w:tcBorders>
              <w:top w:val="single" w:sz="8" w:space="0" w:color="6E9400"/>
              <w:left w:val="nil"/>
              <w:bottom w:val="single" w:sz="8" w:space="0" w:color="6E9400"/>
              <w:right w:val="nil"/>
            </w:tcBorders>
          </w:tcPr>
          <w:p w14:paraId="517C18E3" w14:textId="35F2D783" w:rsidR="00747BBF" w:rsidRPr="00C90D34" w:rsidRDefault="00747BBF" w:rsidP="00747BBF">
            <w:pPr>
              <w:spacing w:after="0"/>
              <w:jc w:val="right"/>
              <w:rPr>
                <w:lang w:val="en-CA"/>
              </w:rPr>
            </w:pPr>
            <w:r w:rsidRPr="00C90D34">
              <w:rPr>
                <w:lang w:val="en-CA"/>
              </w:rPr>
              <w:t>$</w:t>
            </w:r>
            <w:r w:rsidR="00FE64BA">
              <w:rPr>
                <w:lang w:val="en-CA"/>
              </w:rPr>
              <w:t>2,530</w:t>
            </w:r>
          </w:p>
        </w:tc>
        <w:tc>
          <w:tcPr>
            <w:tcW w:w="2455" w:type="dxa"/>
            <w:tcBorders>
              <w:top w:val="single" w:sz="8" w:space="0" w:color="6E9400"/>
              <w:left w:val="nil"/>
              <w:bottom w:val="single" w:sz="8" w:space="0" w:color="6E9400"/>
              <w:right w:val="single" w:sz="8" w:space="0" w:color="6E9400"/>
            </w:tcBorders>
          </w:tcPr>
          <w:p w14:paraId="20D3A870" w14:textId="3AE84687" w:rsidR="00747BBF" w:rsidRPr="00C90D34" w:rsidRDefault="00747BBF" w:rsidP="00747BBF">
            <w:pPr>
              <w:spacing w:after="0"/>
              <w:jc w:val="right"/>
              <w:rPr>
                <w:lang w:val="en-CA"/>
              </w:rPr>
            </w:pPr>
            <w:r w:rsidRPr="00C90D34">
              <w:rPr>
                <w:lang w:val="en-CA"/>
              </w:rPr>
              <w:t>$</w:t>
            </w:r>
            <w:r w:rsidR="00FE64BA">
              <w:rPr>
                <w:lang w:val="en-CA"/>
              </w:rPr>
              <w:t>2,420</w:t>
            </w:r>
          </w:p>
        </w:tc>
      </w:tr>
      <w:tr w:rsidR="00747BBF" w:rsidRPr="00C90D34" w14:paraId="79950C9D" w14:textId="77777777" w:rsidTr="00D074F0">
        <w:tc>
          <w:tcPr>
            <w:tcW w:w="4165" w:type="dxa"/>
            <w:gridSpan w:val="2"/>
            <w:tcBorders>
              <w:top w:val="single" w:sz="8" w:space="0" w:color="6E9400"/>
              <w:left w:val="single" w:sz="8" w:space="0" w:color="6E9400"/>
              <w:bottom w:val="single" w:sz="8" w:space="0" w:color="6E9400"/>
              <w:right w:val="nil"/>
            </w:tcBorders>
          </w:tcPr>
          <w:p w14:paraId="3AAF3FA8" w14:textId="77777777" w:rsidR="00747BBF" w:rsidRPr="00C90D34" w:rsidRDefault="00747BBF" w:rsidP="00747BBF">
            <w:pPr>
              <w:spacing w:after="0"/>
              <w:rPr>
                <w:b/>
                <w:bCs/>
                <w:lang w:val="en-CA"/>
              </w:rPr>
            </w:pPr>
            <w:r w:rsidRPr="00C90D34">
              <w:rPr>
                <w:bCs/>
                <w:lang w:val="en-CA"/>
              </w:rPr>
              <w:t>Total unsecured debt</w:t>
            </w:r>
          </w:p>
        </w:tc>
        <w:tc>
          <w:tcPr>
            <w:tcW w:w="2250" w:type="dxa"/>
            <w:gridSpan w:val="3"/>
            <w:tcBorders>
              <w:top w:val="single" w:sz="8" w:space="0" w:color="6E9400"/>
              <w:left w:val="nil"/>
              <w:bottom w:val="single" w:sz="8" w:space="0" w:color="6E9400"/>
              <w:right w:val="nil"/>
            </w:tcBorders>
          </w:tcPr>
          <w:p w14:paraId="7029EC44" w14:textId="0B653F18" w:rsidR="00747BBF" w:rsidRPr="00C90D34" w:rsidRDefault="00747BBF" w:rsidP="00747BBF">
            <w:pPr>
              <w:spacing w:after="0"/>
              <w:jc w:val="right"/>
              <w:rPr>
                <w:lang w:val="en-CA"/>
              </w:rPr>
            </w:pPr>
            <w:r w:rsidRPr="00C90D34">
              <w:rPr>
                <w:lang w:val="en-CA"/>
              </w:rPr>
              <w:t>$</w:t>
            </w:r>
            <w:r w:rsidR="00FE64BA">
              <w:rPr>
                <w:lang w:val="en-CA"/>
              </w:rPr>
              <w:t>49,289</w:t>
            </w:r>
          </w:p>
        </w:tc>
        <w:tc>
          <w:tcPr>
            <w:tcW w:w="2455" w:type="dxa"/>
            <w:tcBorders>
              <w:top w:val="single" w:sz="8" w:space="0" w:color="6E9400"/>
              <w:left w:val="nil"/>
              <w:bottom w:val="single" w:sz="8" w:space="0" w:color="6E9400"/>
              <w:right w:val="single" w:sz="8" w:space="0" w:color="6E9400"/>
            </w:tcBorders>
          </w:tcPr>
          <w:p w14:paraId="1359DD8C" w14:textId="75AFE9D3" w:rsidR="00747BBF" w:rsidRPr="00C90D34" w:rsidRDefault="00747BBF" w:rsidP="00747BBF">
            <w:pPr>
              <w:spacing w:after="0"/>
              <w:jc w:val="right"/>
              <w:rPr>
                <w:lang w:val="en-CA"/>
              </w:rPr>
            </w:pPr>
            <w:r w:rsidRPr="00C90D34">
              <w:rPr>
                <w:lang w:val="en-CA"/>
              </w:rPr>
              <w:t>$</w:t>
            </w:r>
            <w:r w:rsidR="00FE64BA">
              <w:rPr>
                <w:lang w:val="en-CA"/>
              </w:rPr>
              <w:t>49,071</w:t>
            </w:r>
          </w:p>
        </w:tc>
      </w:tr>
      <w:tr w:rsidR="00747BBF" w:rsidRPr="00C90D34" w14:paraId="2F31967C" w14:textId="77777777" w:rsidTr="00D074F0">
        <w:tc>
          <w:tcPr>
            <w:tcW w:w="4165" w:type="dxa"/>
            <w:gridSpan w:val="2"/>
            <w:tcBorders>
              <w:top w:val="single" w:sz="8" w:space="0" w:color="6E9400"/>
              <w:left w:val="single" w:sz="8" w:space="0" w:color="6E9400"/>
              <w:bottom w:val="single" w:sz="8" w:space="0" w:color="6E9400"/>
              <w:right w:val="nil"/>
            </w:tcBorders>
          </w:tcPr>
          <w:p w14:paraId="6611CB2F" w14:textId="77777777" w:rsidR="00747BBF" w:rsidRPr="00C90D34" w:rsidRDefault="00747BBF" w:rsidP="00747BBF">
            <w:pPr>
              <w:spacing w:after="0"/>
              <w:rPr>
                <w:bCs/>
                <w:lang w:val="en-CA"/>
              </w:rPr>
            </w:pPr>
            <w:r w:rsidRPr="00C90D34">
              <w:rPr>
                <w:bCs/>
                <w:lang w:val="en-CA"/>
              </w:rPr>
              <w:t>Unsecured debt-to-income</w:t>
            </w:r>
          </w:p>
        </w:tc>
        <w:tc>
          <w:tcPr>
            <w:tcW w:w="2250" w:type="dxa"/>
            <w:gridSpan w:val="3"/>
            <w:tcBorders>
              <w:top w:val="single" w:sz="8" w:space="0" w:color="6E9400"/>
              <w:left w:val="nil"/>
              <w:bottom w:val="single" w:sz="8" w:space="0" w:color="6E9400"/>
              <w:right w:val="nil"/>
            </w:tcBorders>
          </w:tcPr>
          <w:p w14:paraId="53ACB67F" w14:textId="636FA290" w:rsidR="00747BBF" w:rsidRPr="00C90D34" w:rsidRDefault="00FE64BA" w:rsidP="00747BBF">
            <w:pPr>
              <w:spacing w:after="0"/>
              <w:jc w:val="right"/>
              <w:rPr>
                <w:lang w:val="en-CA"/>
              </w:rPr>
            </w:pPr>
            <w:r>
              <w:rPr>
                <w:lang w:val="en-CA"/>
              </w:rPr>
              <w:t>162</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23E1F99C" w14:textId="2EBE98ED" w:rsidR="00747BBF" w:rsidRPr="00C90D34" w:rsidRDefault="00FE64BA" w:rsidP="00747BBF">
            <w:pPr>
              <w:spacing w:after="0"/>
              <w:jc w:val="right"/>
              <w:rPr>
                <w:lang w:val="en-CA"/>
              </w:rPr>
            </w:pPr>
            <w:r>
              <w:rPr>
                <w:lang w:val="en-CA"/>
              </w:rPr>
              <w:t>169</w:t>
            </w:r>
            <w:r w:rsidR="00747BBF" w:rsidRPr="00C90D34">
              <w:rPr>
                <w:lang w:val="en-CA"/>
              </w:rPr>
              <w:t>%</w:t>
            </w:r>
          </w:p>
        </w:tc>
      </w:tr>
      <w:tr w:rsidR="00747BBF" w:rsidRPr="00C90D34" w14:paraId="79895066" w14:textId="77777777" w:rsidTr="00D074F0">
        <w:tc>
          <w:tcPr>
            <w:tcW w:w="4165" w:type="dxa"/>
            <w:gridSpan w:val="2"/>
            <w:tcBorders>
              <w:top w:val="single" w:sz="8" w:space="0" w:color="6E9400"/>
              <w:left w:val="single" w:sz="8" w:space="0" w:color="6E9400"/>
              <w:bottom w:val="single" w:sz="8" w:space="0" w:color="6E9400"/>
              <w:right w:val="nil"/>
            </w:tcBorders>
          </w:tcPr>
          <w:p w14:paraId="1C66F176" w14:textId="77777777" w:rsidR="00747BBF" w:rsidRPr="00C90D34" w:rsidRDefault="00747BBF" w:rsidP="00747BBF">
            <w:pPr>
              <w:spacing w:after="0"/>
              <w:rPr>
                <w:b/>
                <w:bCs/>
                <w:lang w:val="en-CA"/>
              </w:rPr>
            </w:pPr>
            <w:r w:rsidRPr="00C90D34">
              <w:rPr>
                <w:bCs/>
                <w:lang w:val="en-CA"/>
              </w:rPr>
              <w:t>Likelihood they own a home</w:t>
            </w:r>
          </w:p>
        </w:tc>
        <w:tc>
          <w:tcPr>
            <w:tcW w:w="2250" w:type="dxa"/>
            <w:gridSpan w:val="3"/>
            <w:tcBorders>
              <w:top w:val="single" w:sz="8" w:space="0" w:color="6E9400"/>
              <w:left w:val="nil"/>
              <w:bottom w:val="single" w:sz="8" w:space="0" w:color="6E9400"/>
              <w:right w:val="nil"/>
            </w:tcBorders>
          </w:tcPr>
          <w:p w14:paraId="3449EA40" w14:textId="6F25DD76" w:rsidR="00747BBF" w:rsidRPr="00C90D34" w:rsidRDefault="00FE64BA" w:rsidP="00747BBF">
            <w:pPr>
              <w:spacing w:after="0"/>
              <w:jc w:val="right"/>
              <w:rPr>
                <w:lang w:val="en-CA"/>
              </w:rPr>
            </w:pPr>
            <w:r>
              <w:rPr>
                <w:lang w:val="en-CA"/>
              </w:rPr>
              <w:t>5</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12AC5D70" w14:textId="7B96280C" w:rsidR="00747BBF" w:rsidRPr="00C90D34" w:rsidRDefault="00FE64BA" w:rsidP="00747BBF">
            <w:pPr>
              <w:spacing w:after="0"/>
              <w:jc w:val="right"/>
              <w:rPr>
                <w:lang w:val="en-CA"/>
              </w:rPr>
            </w:pPr>
            <w:r>
              <w:rPr>
                <w:lang w:val="en-CA"/>
              </w:rPr>
              <w:t>8</w:t>
            </w:r>
            <w:r w:rsidR="00747BBF" w:rsidRPr="00C90D34">
              <w:rPr>
                <w:lang w:val="en-CA"/>
              </w:rPr>
              <w:t>%</w:t>
            </w:r>
          </w:p>
        </w:tc>
      </w:tr>
      <w:tr w:rsidR="00747BBF" w:rsidRPr="00C90D34" w14:paraId="20B7DD57" w14:textId="77777777" w:rsidTr="00D074F0">
        <w:tc>
          <w:tcPr>
            <w:tcW w:w="4165" w:type="dxa"/>
            <w:gridSpan w:val="2"/>
            <w:tcBorders>
              <w:top w:val="single" w:sz="8" w:space="0" w:color="6E9400"/>
              <w:left w:val="single" w:sz="8" w:space="0" w:color="6E9400"/>
              <w:bottom w:val="single" w:sz="8" w:space="0" w:color="6E9400"/>
              <w:right w:val="nil"/>
            </w:tcBorders>
          </w:tcPr>
          <w:p w14:paraId="23DE5A88" w14:textId="77777777" w:rsidR="00747BBF" w:rsidRPr="00C90D34" w:rsidRDefault="00747BBF" w:rsidP="00747BBF">
            <w:pPr>
              <w:spacing w:after="0"/>
              <w:rPr>
                <w:b/>
                <w:bCs/>
                <w:lang w:val="en-CA"/>
              </w:rPr>
            </w:pPr>
            <w:r w:rsidRPr="00C90D34">
              <w:rPr>
                <w:bCs/>
                <w:lang w:val="en-CA"/>
              </w:rPr>
              <w:t>Average mortgage value</w:t>
            </w:r>
            <w:r w:rsidR="005B0911" w:rsidRPr="00C90D34">
              <w:rPr>
                <w:bCs/>
                <w:lang w:val="en-CA"/>
              </w:rPr>
              <w:t xml:space="preserve"> (homeowner)</w:t>
            </w:r>
          </w:p>
        </w:tc>
        <w:tc>
          <w:tcPr>
            <w:tcW w:w="2250" w:type="dxa"/>
            <w:gridSpan w:val="3"/>
            <w:tcBorders>
              <w:top w:val="single" w:sz="8" w:space="0" w:color="6E9400"/>
              <w:left w:val="nil"/>
              <w:bottom w:val="single" w:sz="8" w:space="0" w:color="6E9400"/>
              <w:right w:val="nil"/>
            </w:tcBorders>
          </w:tcPr>
          <w:p w14:paraId="2443E874" w14:textId="0E7EFBF7" w:rsidR="00747BBF" w:rsidRPr="00C90D34" w:rsidRDefault="00747BBF" w:rsidP="00747BBF">
            <w:pPr>
              <w:spacing w:after="0"/>
              <w:jc w:val="right"/>
              <w:rPr>
                <w:lang w:val="en-CA"/>
              </w:rPr>
            </w:pPr>
            <w:r w:rsidRPr="00C90D34">
              <w:rPr>
                <w:lang w:val="en-CA"/>
              </w:rPr>
              <w:t>$</w:t>
            </w:r>
            <w:r w:rsidR="00FE64BA">
              <w:rPr>
                <w:lang w:val="en-CA"/>
              </w:rPr>
              <w:t>221,235</w:t>
            </w:r>
          </w:p>
        </w:tc>
        <w:tc>
          <w:tcPr>
            <w:tcW w:w="2455" w:type="dxa"/>
            <w:tcBorders>
              <w:top w:val="single" w:sz="8" w:space="0" w:color="6E9400"/>
              <w:left w:val="nil"/>
              <w:bottom w:val="single" w:sz="8" w:space="0" w:color="6E9400"/>
              <w:right w:val="single" w:sz="8" w:space="0" w:color="6E9400"/>
            </w:tcBorders>
          </w:tcPr>
          <w:p w14:paraId="5C3963D6" w14:textId="6160F9AC" w:rsidR="00747BBF" w:rsidRPr="00C90D34" w:rsidRDefault="00747BBF" w:rsidP="00747BBF">
            <w:pPr>
              <w:spacing w:after="0"/>
              <w:jc w:val="right"/>
              <w:rPr>
                <w:lang w:val="en-CA"/>
              </w:rPr>
            </w:pPr>
            <w:r w:rsidRPr="00C90D34">
              <w:rPr>
                <w:lang w:val="en-CA"/>
              </w:rPr>
              <w:t>$</w:t>
            </w:r>
            <w:r w:rsidR="00FE64BA">
              <w:rPr>
                <w:lang w:val="en-CA"/>
              </w:rPr>
              <w:t>190,343</w:t>
            </w:r>
          </w:p>
        </w:tc>
      </w:tr>
      <w:tr w:rsidR="00747BBF" w:rsidRPr="00C90D34" w14:paraId="17C35984" w14:textId="77777777" w:rsidTr="00D074F0">
        <w:tc>
          <w:tcPr>
            <w:tcW w:w="4165" w:type="dxa"/>
            <w:gridSpan w:val="2"/>
            <w:tcBorders>
              <w:top w:val="single" w:sz="8" w:space="0" w:color="6E9400"/>
              <w:left w:val="single" w:sz="8" w:space="0" w:color="6E9400"/>
              <w:bottom w:val="single" w:sz="8" w:space="0" w:color="6E9400"/>
              <w:right w:val="nil"/>
            </w:tcBorders>
          </w:tcPr>
          <w:p w14:paraId="48B308DA" w14:textId="77777777" w:rsidR="00747BBF" w:rsidRPr="00C90D34" w:rsidRDefault="00747BBF" w:rsidP="00D074F0">
            <w:pPr>
              <w:spacing w:after="0"/>
              <w:rPr>
                <w:b/>
                <w:bCs/>
                <w:lang w:val="en-CA"/>
              </w:rPr>
            </w:pPr>
          </w:p>
        </w:tc>
        <w:tc>
          <w:tcPr>
            <w:tcW w:w="2250" w:type="dxa"/>
            <w:gridSpan w:val="3"/>
            <w:tcBorders>
              <w:top w:val="single" w:sz="8" w:space="0" w:color="6E9400"/>
              <w:left w:val="nil"/>
              <w:bottom w:val="single" w:sz="8" w:space="0" w:color="6E9400"/>
              <w:right w:val="nil"/>
            </w:tcBorders>
          </w:tcPr>
          <w:p w14:paraId="17678085" w14:textId="77777777" w:rsidR="00747BBF" w:rsidRPr="00C90D34" w:rsidRDefault="00747BBF" w:rsidP="00D074F0">
            <w:pPr>
              <w:spacing w:after="0"/>
              <w:rPr>
                <w:lang w:val="en-CA"/>
              </w:rPr>
            </w:pPr>
          </w:p>
        </w:tc>
        <w:tc>
          <w:tcPr>
            <w:tcW w:w="2455" w:type="dxa"/>
            <w:tcBorders>
              <w:top w:val="single" w:sz="8" w:space="0" w:color="6E9400"/>
              <w:left w:val="nil"/>
              <w:bottom w:val="single" w:sz="8" w:space="0" w:color="6E9400"/>
              <w:right w:val="single" w:sz="8" w:space="0" w:color="6E9400"/>
            </w:tcBorders>
          </w:tcPr>
          <w:p w14:paraId="78BA2250" w14:textId="77777777" w:rsidR="00747BBF" w:rsidRPr="00C90D34" w:rsidRDefault="00747BBF" w:rsidP="00D074F0">
            <w:pPr>
              <w:spacing w:after="0"/>
              <w:rPr>
                <w:lang w:val="en-CA"/>
              </w:rPr>
            </w:pPr>
          </w:p>
        </w:tc>
      </w:tr>
      <w:tr w:rsidR="00747BBF" w:rsidRPr="00C90D34" w14:paraId="576EDFE7" w14:textId="77777777" w:rsidTr="00D074F0">
        <w:tc>
          <w:tcPr>
            <w:tcW w:w="5695" w:type="dxa"/>
            <w:gridSpan w:val="4"/>
            <w:tcBorders>
              <w:top w:val="single" w:sz="8" w:space="0" w:color="6E9400"/>
              <w:left w:val="single" w:sz="8" w:space="0" w:color="6E9400"/>
              <w:bottom w:val="single" w:sz="8" w:space="0" w:color="6E9400"/>
              <w:right w:val="nil"/>
            </w:tcBorders>
          </w:tcPr>
          <w:p w14:paraId="3C4DD992" w14:textId="118602A1" w:rsidR="00747BBF" w:rsidRPr="00C90D34" w:rsidRDefault="00747BBF" w:rsidP="00D074F0">
            <w:pPr>
              <w:spacing w:after="0"/>
              <w:rPr>
                <w:b/>
                <w:bCs/>
                <w:lang w:val="en-CA"/>
              </w:rPr>
            </w:pPr>
            <w:r w:rsidRPr="00C90D34">
              <w:rPr>
                <w:b/>
                <w:bCs/>
                <w:lang w:val="en-CA"/>
              </w:rPr>
              <w:t xml:space="preserve">Detailed Information on the amount of </w:t>
            </w:r>
            <w:r w:rsidR="00195FD6">
              <w:rPr>
                <w:b/>
                <w:bCs/>
                <w:lang w:val="en-CA"/>
              </w:rPr>
              <w:br/>
            </w:r>
            <w:r w:rsidRPr="00C90D34">
              <w:rPr>
                <w:b/>
                <w:bCs/>
                <w:lang w:val="en-CA"/>
              </w:rPr>
              <w:t>average unsecured debt:</w:t>
            </w:r>
          </w:p>
        </w:tc>
        <w:tc>
          <w:tcPr>
            <w:tcW w:w="3175" w:type="dxa"/>
            <w:gridSpan w:val="2"/>
            <w:tcBorders>
              <w:top w:val="single" w:sz="8" w:space="0" w:color="6E9400"/>
              <w:left w:val="nil"/>
              <w:bottom w:val="single" w:sz="8" w:space="0" w:color="6E9400"/>
              <w:right w:val="single" w:sz="8" w:space="0" w:color="6E9400"/>
            </w:tcBorders>
          </w:tcPr>
          <w:p w14:paraId="11A08DDC" w14:textId="77777777" w:rsidR="00747BBF" w:rsidRPr="00C90D34" w:rsidRDefault="00747BBF" w:rsidP="00D074F0">
            <w:pPr>
              <w:spacing w:after="0"/>
              <w:rPr>
                <w:b/>
                <w:bCs/>
                <w:lang w:val="en-CA"/>
              </w:rPr>
            </w:pPr>
          </w:p>
        </w:tc>
      </w:tr>
      <w:tr w:rsidR="00747BBF" w:rsidRPr="00C90D34" w14:paraId="61CF55D4" w14:textId="77777777" w:rsidTr="00D074F0">
        <w:tc>
          <w:tcPr>
            <w:tcW w:w="4165" w:type="dxa"/>
            <w:gridSpan w:val="2"/>
            <w:tcBorders>
              <w:top w:val="single" w:sz="8" w:space="0" w:color="6E9400"/>
              <w:left w:val="single" w:sz="8" w:space="0" w:color="6E9400"/>
              <w:bottom w:val="single" w:sz="8" w:space="0" w:color="6E9400"/>
              <w:right w:val="nil"/>
            </w:tcBorders>
          </w:tcPr>
          <w:p w14:paraId="5390767C" w14:textId="77777777" w:rsidR="00747BBF" w:rsidRPr="00C90D34" w:rsidRDefault="00747BBF" w:rsidP="00747BBF">
            <w:pPr>
              <w:spacing w:after="0"/>
              <w:rPr>
                <w:b/>
                <w:bCs/>
                <w:lang w:val="en-CA"/>
              </w:rPr>
            </w:pPr>
            <w:r w:rsidRPr="00C90D34">
              <w:rPr>
                <w:bCs/>
                <w:lang w:val="en-CA"/>
              </w:rPr>
              <w:t>Personal loans</w:t>
            </w:r>
          </w:p>
        </w:tc>
        <w:tc>
          <w:tcPr>
            <w:tcW w:w="2250" w:type="dxa"/>
            <w:gridSpan w:val="3"/>
            <w:tcBorders>
              <w:top w:val="single" w:sz="8" w:space="0" w:color="6E9400"/>
              <w:left w:val="nil"/>
              <w:bottom w:val="single" w:sz="8" w:space="0" w:color="6E9400"/>
              <w:right w:val="nil"/>
            </w:tcBorders>
          </w:tcPr>
          <w:p w14:paraId="681E5D85" w14:textId="53774EBC" w:rsidR="00747BBF" w:rsidRPr="00C90D34" w:rsidRDefault="00747BBF" w:rsidP="00747BBF">
            <w:pPr>
              <w:spacing w:after="0"/>
              <w:jc w:val="right"/>
              <w:rPr>
                <w:lang w:val="en-CA"/>
              </w:rPr>
            </w:pPr>
            <w:r w:rsidRPr="00C90D34">
              <w:rPr>
                <w:lang w:val="en-CA"/>
              </w:rPr>
              <w:t>$</w:t>
            </w:r>
            <w:r w:rsidR="00FE64BA">
              <w:rPr>
                <w:lang w:val="en-CA"/>
              </w:rPr>
              <w:t>16,944</w:t>
            </w:r>
          </w:p>
        </w:tc>
        <w:tc>
          <w:tcPr>
            <w:tcW w:w="2455" w:type="dxa"/>
            <w:tcBorders>
              <w:top w:val="single" w:sz="8" w:space="0" w:color="6E9400"/>
              <w:left w:val="nil"/>
              <w:bottom w:val="single" w:sz="8" w:space="0" w:color="6E9400"/>
              <w:right w:val="single" w:sz="8" w:space="0" w:color="6E9400"/>
            </w:tcBorders>
          </w:tcPr>
          <w:p w14:paraId="6FF6956C" w14:textId="760A6E53" w:rsidR="00747BBF" w:rsidRPr="00C90D34" w:rsidRDefault="00747BBF" w:rsidP="00747BBF">
            <w:pPr>
              <w:spacing w:after="0"/>
              <w:jc w:val="right"/>
              <w:rPr>
                <w:lang w:val="en-CA"/>
              </w:rPr>
            </w:pPr>
            <w:r w:rsidRPr="00C90D34">
              <w:rPr>
                <w:lang w:val="en-CA"/>
              </w:rPr>
              <w:t>$</w:t>
            </w:r>
            <w:r w:rsidR="00FE64BA">
              <w:rPr>
                <w:lang w:val="en-CA"/>
              </w:rPr>
              <w:t>17,520</w:t>
            </w:r>
          </w:p>
        </w:tc>
      </w:tr>
      <w:tr w:rsidR="00747BBF" w:rsidRPr="00C90D34" w14:paraId="0A7AECE9" w14:textId="77777777" w:rsidTr="00D074F0">
        <w:tc>
          <w:tcPr>
            <w:tcW w:w="4165" w:type="dxa"/>
            <w:gridSpan w:val="2"/>
            <w:tcBorders>
              <w:top w:val="single" w:sz="8" w:space="0" w:color="6E9400"/>
              <w:left w:val="single" w:sz="8" w:space="0" w:color="6E9400"/>
              <w:bottom w:val="single" w:sz="8" w:space="0" w:color="6E9400"/>
              <w:right w:val="nil"/>
            </w:tcBorders>
          </w:tcPr>
          <w:p w14:paraId="6A1CA11F" w14:textId="77777777" w:rsidR="00747BBF" w:rsidRPr="00C90D34" w:rsidRDefault="00747BBF" w:rsidP="00747BBF">
            <w:pPr>
              <w:spacing w:after="0"/>
              <w:rPr>
                <w:b/>
                <w:bCs/>
                <w:lang w:val="en-CA"/>
              </w:rPr>
            </w:pPr>
            <w:r w:rsidRPr="00C90D34">
              <w:rPr>
                <w:bCs/>
                <w:lang w:val="en-CA"/>
              </w:rPr>
              <w:t>Credit cards</w:t>
            </w:r>
          </w:p>
        </w:tc>
        <w:tc>
          <w:tcPr>
            <w:tcW w:w="2250" w:type="dxa"/>
            <w:gridSpan w:val="3"/>
            <w:tcBorders>
              <w:top w:val="single" w:sz="8" w:space="0" w:color="6E9400"/>
              <w:left w:val="nil"/>
              <w:bottom w:val="single" w:sz="8" w:space="0" w:color="6E9400"/>
              <w:right w:val="nil"/>
            </w:tcBorders>
          </w:tcPr>
          <w:p w14:paraId="675E0CCF" w14:textId="6179CBE5" w:rsidR="00747BBF" w:rsidRPr="00C90D34" w:rsidRDefault="00747BBF" w:rsidP="00747BBF">
            <w:pPr>
              <w:spacing w:after="0"/>
              <w:jc w:val="right"/>
              <w:rPr>
                <w:lang w:val="en-CA"/>
              </w:rPr>
            </w:pPr>
            <w:r w:rsidRPr="00C90D34">
              <w:rPr>
                <w:lang w:val="en-CA"/>
              </w:rPr>
              <w:t>$</w:t>
            </w:r>
            <w:r w:rsidR="00FE64BA">
              <w:rPr>
                <w:lang w:val="en-CA"/>
              </w:rPr>
              <w:t>15,905</w:t>
            </w:r>
          </w:p>
        </w:tc>
        <w:tc>
          <w:tcPr>
            <w:tcW w:w="2455" w:type="dxa"/>
            <w:tcBorders>
              <w:top w:val="single" w:sz="8" w:space="0" w:color="6E9400"/>
              <w:left w:val="nil"/>
              <w:bottom w:val="single" w:sz="8" w:space="0" w:color="6E9400"/>
              <w:right w:val="single" w:sz="8" w:space="0" w:color="6E9400"/>
            </w:tcBorders>
          </w:tcPr>
          <w:p w14:paraId="1E1E4648" w14:textId="6E9083F3" w:rsidR="00747BBF" w:rsidRPr="00C90D34" w:rsidRDefault="00747BBF" w:rsidP="00747BBF">
            <w:pPr>
              <w:spacing w:after="0"/>
              <w:jc w:val="right"/>
              <w:rPr>
                <w:lang w:val="en-CA"/>
              </w:rPr>
            </w:pPr>
            <w:r w:rsidRPr="00C90D34">
              <w:rPr>
                <w:lang w:val="en-CA"/>
              </w:rPr>
              <w:t>$</w:t>
            </w:r>
            <w:r w:rsidR="00FE64BA">
              <w:rPr>
                <w:lang w:val="en-CA"/>
              </w:rPr>
              <w:t>15,134</w:t>
            </w:r>
          </w:p>
        </w:tc>
      </w:tr>
      <w:tr w:rsidR="00747BBF" w:rsidRPr="00C90D34" w14:paraId="096B293B" w14:textId="77777777" w:rsidTr="00D074F0">
        <w:tc>
          <w:tcPr>
            <w:tcW w:w="4165" w:type="dxa"/>
            <w:gridSpan w:val="2"/>
            <w:tcBorders>
              <w:top w:val="single" w:sz="8" w:space="0" w:color="6E9400"/>
              <w:left w:val="single" w:sz="8" w:space="0" w:color="6E9400"/>
              <w:bottom w:val="single" w:sz="8" w:space="0" w:color="6E9400"/>
              <w:right w:val="nil"/>
            </w:tcBorders>
          </w:tcPr>
          <w:p w14:paraId="28DF5554" w14:textId="77777777" w:rsidR="00747BBF" w:rsidRPr="00C90D34" w:rsidRDefault="00747BBF" w:rsidP="00747BBF">
            <w:pPr>
              <w:spacing w:after="0"/>
              <w:rPr>
                <w:b/>
                <w:bCs/>
                <w:lang w:val="en-CA"/>
              </w:rPr>
            </w:pPr>
            <w:r w:rsidRPr="00C90D34">
              <w:rPr>
                <w:bCs/>
                <w:lang w:val="en-CA"/>
              </w:rPr>
              <w:t>Taxes</w:t>
            </w:r>
          </w:p>
        </w:tc>
        <w:tc>
          <w:tcPr>
            <w:tcW w:w="2250" w:type="dxa"/>
            <w:gridSpan w:val="3"/>
            <w:tcBorders>
              <w:top w:val="single" w:sz="8" w:space="0" w:color="6E9400"/>
              <w:left w:val="nil"/>
              <w:bottom w:val="single" w:sz="8" w:space="0" w:color="6E9400"/>
              <w:right w:val="nil"/>
            </w:tcBorders>
          </w:tcPr>
          <w:p w14:paraId="1AD93137" w14:textId="51FCD326" w:rsidR="00747BBF" w:rsidRPr="00C90D34" w:rsidRDefault="00747BBF" w:rsidP="00747BBF">
            <w:pPr>
              <w:spacing w:after="0"/>
              <w:jc w:val="right"/>
              <w:rPr>
                <w:lang w:val="en-CA"/>
              </w:rPr>
            </w:pPr>
            <w:r w:rsidRPr="00C90D34">
              <w:rPr>
                <w:lang w:val="en-CA"/>
              </w:rPr>
              <w:t>$</w:t>
            </w:r>
            <w:r w:rsidR="00FE64BA">
              <w:rPr>
                <w:lang w:val="en-CA"/>
              </w:rPr>
              <w:t>8,835</w:t>
            </w:r>
          </w:p>
        </w:tc>
        <w:tc>
          <w:tcPr>
            <w:tcW w:w="2455" w:type="dxa"/>
            <w:tcBorders>
              <w:top w:val="single" w:sz="8" w:space="0" w:color="6E9400"/>
              <w:left w:val="nil"/>
              <w:bottom w:val="single" w:sz="8" w:space="0" w:color="6E9400"/>
              <w:right w:val="single" w:sz="8" w:space="0" w:color="6E9400"/>
            </w:tcBorders>
          </w:tcPr>
          <w:p w14:paraId="1941B937" w14:textId="65CB840C" w:rsidR="00747BBF" w:rsidRPr="00C90D34" w:rsidRDefault="00747BBF" w:rsidP="00747BBF">
            <w:pPr>
              <w:spacing w:after="0"/>
              <w:jc w:val="right"/>
              <w:rPr>
                <w:lang w:val="en-CA"/>
              </w:rPr>
            </w:pPr>
            <w:r w:rsidRPr="00C90D34">
              <w:rPr>
                <w:lang w:val="en-CA"/>
              </w:rPr>
              <w:t>$</w:t>
            </w:r>
            <w:r w:rsidR="00FE64BA">
              <w:rPr>
                <w:lang w:val="en-CA"/>
              </w:rPr>
              <w:t>8,797</w:t>
            </w:r>
          </w:p>
        </w:tc>
      </w:tr>
      <w:tr w:rsidR="00747BBF" w:rsidRPr="00C90D34" w14:paraId="63ACA79C" w14:textId="77777777" w:rsidTr="00D074F0">
        <w:tc>
          <w:tcPr>
            <w:tcW w:w="4165" w:type="dxa"/>
            <w:gridSpan w:val="2"/>
            <w:tcBorders>
              <w:top w:val="single" w:sz="8" w:space="0" w:color="6E9400"/>
              <w:left w:val="single" w:sz="8" w:space="0" w:color="6E9400"/>
              <w:bottom w:val="single" w:sz="8" w:space="0" w:color="6E9400"/>
              <w:right w:val="nil"/>
            </w:tcBorders>
          </w:tcPr>
          <w:p w14:paraId="6F198363" w14:textId="77777777" w:rsidR="00747BBF" w:rsidRPr="00C90D34" w:rsidRDefault="00747BBF" w:rsidP="00747BBF">
            <w:pPr>
              <w:spacing w:after="0"/>
              <w:rPr>
                <w:b/>
                <w:bCs/>
                <w:lang w:val="en-CA"/>
              </w:rPr>
            </w:pPr>
            <w:r w:rsidRPr="00C90D34">
              <w:rPr>
                <w:bCs/>
                <w:lang w:val="en-CA"/>
              </w:rPr>
              <w:t>Student loans</w:t>
            </w:r>
          </w:p>
        </w:tc>
        <w:tc>
          <w:tcPr>
            <w:tcW w:w="2250" w:type="dxa"/>
            <w:gridSpan w:val="3"/>
            <w:tcBorders>
              <w:top w:val="single" w:sz="8" w:space="0" w:color="6E9400"/>
              <w:left w:val="nil"/>
              <w:bottom w:val="single" w:sz="8" w:space="0" w:color="6E9400"/>
              <w:right w:val="nil"/>
            </w:tcBorders>
          </w:tcPr>
          <w:p w14:paraId="40D26DB1" w14:textId="07845E2E" w:rsidR="00747BBF" w:rsidRPr="00C90D34" w:rsidRDefault="00747BBF" w:rsidP="00747BBF">
            <w:pPr>
              <w:spacing w:after="0"/>
              <w:jc w:val="right"/>
              <w:rPr>
                <w:lang w:val="en-CA"/>
              </w:rPr>
            </w:pPr>
            <w:r w:rsidRPr="00C90D34">
              <w:rPr>
                <w:lang w:val="en-CA"/>
              </w:rPr>
              <w:t>$</w:t>
            </w:r>
            <w:r w:rsidR="00FE64BA">
              <w:rPr>
                <w:lang w:val="en-CA"/>
              </w:rPr>
              <w:t>2,597</w:t>
            </w:r>
          </w:p>
        </w:tc>
        <w:tc>
          <w:tcPr>
            <w:tcW w:w="2455" w:type="dxa"/>
            <w:tcBorders>
              <w:top w:val="single" w:sz="8" w:space="0" w:color="6E9400"/>
              <w:left w:val="nil"/>
              <w:bottom w:val="single" w:sz="8" w:space="0" w:color="6E9400"/>
              <w:right w:val="single" w:sz="8" w:space="0" w:color="6E9400"/>
            </w:tcBorders>
          </w:tcPr>
          <w:p w14:paraId="63C6FB89" w14:textId="5211DB38" w:rsidR="00747BBF" w:rsidRPr="00C90D34" w:rsidRDefault="00747BBF" w:rsidP="00747BBF">
            <w:pPr>
              <w:spacing w:after="0"/>
              <w:jc w:val="right"/>
              <w:rPr>
                <w:lang w:val="en-CA"/>
              </w:rPr>
            </w:pPr>
            <w:r w:rsidRPr="00C90D34">
              <w:rPr>
                <w:lang w:val="en-CA"/>
              </w:rPr>
              <w:t>$</w:t>
            </w:r>
            <w:r w:rsidR="00FE64BA">
              <w:rPr>
                <w:lang w:val="en-CA"/>
              </w:rPr>
              <w:t>2,089</w:t>
            </w:r>
          </w:p>
        </w:tc>
      </w:tr>
      <w:tr w:rsidR="00747BBF" w:rsidRPr="00C90D34" w14:paraId="62C76856" w14:textId="77777777" w:rsidTr="00D074F0">
        <w:tc>
          <w:tcPr>
            <w:tcW w:w="4165" w:type="dxa"/>
            <w:gridSpan w:val="2"/>
            <w:tcBorders>
              <w:top w:val="single" w:sz="8" w:space="0" w:color="6E9400"/>
              <w:left w:val="single" w:sz="8" w:space="0" w:color="6E9400"/>
              <w:bottom w:val="single" w:sz="8" w:space="0" w:color="6E9400"/>
              <w:right w:val="nil"/>
            </w:tcBorders>
          </w:tcPr>
          <w:p w14:paraId="71A6FAA3" w14:textId="77777777" w:rsidR="00747BBF" w:rsidRPr="00C90D34" w:rsidRDefault="00747BBF" w:rsidP="00747BBF">
            <w:pPr>
              <w:spacing w:after="0"/>
              <w:rPr>
                <w:b/>
                <w:bCs/>
                <w:lang w:val="en-CA"/>
              </w:rPr>
            </w:pPr>
            <w:r w:rsidRPr="00C90D34">
              <w:rPr>
                <w:bCs/>
                <w:lang w:val="en-CA"/>
              </w:rPr>
              <w:t>Other</w:t>
            </w:r>
          </w:p>
        </w:tc>
        <w:tc>
          <w:tcPr>
            <w:tcW w:w="2250" w:type="dxa"/>
            <w:gridSpan w:val="3"/>
            <w:tcBorders>
              <w:top w:val="single" w:sz="8" w:space="0" w:color="6E9400"/>
              <w:left w:val="nil"/>
              <w:bottom w:val="single" w:sz="8" w:space="0" w:color="6E9400"/>
              <w:right w:val="nil"/>
            </w:tcBorders>
          </w:tcPr>
          <w:p w14:paraId="2DEA3FCB" w14:textId="7EB32A62" w:rsidR="00747BBF" w:rsidRPr="00C90D34" w:rsidRDefault="00747BBF" w:rsidP="00747BBF">
            <w:pPr>
              <w:spacing w:after="0"/>
              <w:jc w:val="right"/>
              <w:rPr>
                <w:lang w:val="en-CA"/>
              </w:rPr>
            </w:pPr>
            <w:r w:rsidRPr="00C90D34">
              <w:rPr>
                <w:lang w:val="en-CA"/>
              </w:rPr>
              <w:t>$</w:t>
            </w:r>
            <w:r w:rsidR="00FE64BA">
              <w:rPr>
                <w:lang w:val="en-CA"/>
              </w:rPr>
              <w:t>5,008</w:t>
            </w:r>
          </w:p>
        </w:tc>
        <w:tc>
          <w:tcPr>
            <w:tcW w:w="2455" w:type="dxa"/>
            <w:tcBorders>
              <w:top w:val="single" w:sz="8" w:space="0" w:color="6E9400"/>
              <w:left w:val="nil"/>
              <w:bottom w:val="single" w:sz="8" w:space="0" w:color="6E9400"/>
              <w:right w:val="single" w:sz="8" w:space="0" w:color="6E9400"/>
            </w:tcBorders>
          </w:tcPr>
          <w:p w14:paraId="0E9E1CE6" w14:textId="1C18EB45" w:rsidR="00747BBF" w:rsidRPr="00C90D34" w:rsidRDefault="00747BBF" w:rsidP="00747BBF">
            <w:pPr>
              <w:spacing w:after="0"/>
              <w:jc w:val="right"/>
              <w:rPr>
                <w:lang w:val="en-CA"/>
              </w:rPr>
            </w:pPr>
            <w:r w:rsidRPr="00C90D34">
              <w:rPr>
                <w:lang w:val="en-CA"/>
              </w:rPr>
              <w:t>$</w:t>
            </w:r>
            <w:r w:rsidR="00FE64BA">
              <w:rPr>
                <w:lang w:val="en-CA"/>
              </w:rPr>
              <w:t>5,531</w:t>
            </w:r>
          </w:p>
        </w:tc>
      </w:tr>
      <w:tr w:rsidR="00747BBF" w:rsidRPr="00C90D34" w14:paraId="1938EA78" w14:textId="77777777" w:rsidTr="00D074F0">
        <w:tc>
          <w:tcPr>
            <w:tcW w:w="4165" w:type="dxa"/>
            <w:gridSpan w:val="2"/>
            <w:tcBorders>
              <w:top w:val="single" w:sz="8" w:space="0" w:color="6E9400"/>
              <w:left w:val="single" w:sz="8" w:space="0" w:color="6E9400"/>
              <w:bottom w:val="single" w:sz="8" w:space="0" w:color="6E9400"/>
              <w:right w:val="nil"/>
            </w:tcBorders>
          </w:tcPr>
          <w:p w14:paraId="16FAA1B5" w14:textId="77777777" w:rsidR="00747BBF" w:rsidRPr="00C90D34" w:rsidRDefault="00747BBF" w:rsidP="00747BBF">
            <w:pPr>
              <w:spacing w:after="0"/>
              <w:rPr>
                <w:bCs/>
                <w:lang w:val="en-CA"/>
              </w:rPr>
            </w:pPr>
          </w:p>
        </w:tc>
        <w:tc>
          <w:tcPr>
            <w:tcW w:w="2250" w:type="dxa"/>
            <w:gridSpan w:val="3"/>
            <w:tcBorders>
              <w:top w:val="single" w:sz="8" w:space="0" w:color="6E9400"/>
              <w:left w:val="nil"/>
              <w:bottom w:val="single" w:sz="8" w:space="0" w:color="6E9400"/>
              <w:right w:val="nil"/>
            </w:tcBorders>
          </w:tcPr>
          <w:p w14:paraId="281A56E6" w14:textId="77777777" w:rsidR="00747BBF" w:rsidRPr="00C90D34" w:rsidRDefault="00747BBF" w:rsidP="00747BBF">
            <w:pPr>
              <w:spacing w:after="0"/>
              <w:jc w:val="right"/>
              <w:rPr>
                <w:lang w:val="en-CA"/>
              </w:rPr>
            </w:pPr>
          </w:p>
        </w:tc>
        <w:tc>
          <w:tcPr>
            <w:tcW w:w="2455" w:type="dxa"/>
            <w:tcBorders>
              <w:top w:val="single" w:sz="8" w:space="0" w:color="6E9400"/>
              <w:left w:val="nil"/>
              <w:bottom w:val="single" w:sz="8" w:space="0" w:color="6E9400"/>
              <w:right w:val="single" w:sz="8" w:space="0" w:color="6E9400"/>
            </w:tcBorders>
          </w:tcPr>
          <w:p w14:paraId="15848D99" w14:textId="77777777" w:rsidR="00747BBF" w:rsidRPr="00C90D34" w:rsidRDefault="00747BBF" w:rsidP="00747BBF">
            <w:pPr>
              <w:spacing w:after="0"/>
              <w:jc w:val="right"/>
              <w:rPr>
                <w:lang w:val="en-CA"/>
              </w:rPr>
            </w:pPr>
          </w:p>
        </w:tc>
      </w:tr>
      <w:tr w:rsidR="00747BBF" w:rsidRPr="00C90D34" w14:paraId="74729BD3" w14:textId="77777777" w:rsidTr="00D074F0">
        <w:tc>
          <w:tcPr>
            <w:tcW w:w="4165" w:type="dxa"/>
            <w:gridSpan w:val="2"/>
            <w:tcBorders>
              <w:top w:val="single" w:sz="8" w:space="0" w:color="6E9400"/>
              <w:left w:val="single" w:sz="8" w:space="0" w:color="6E9400"/>
              <w:bottom w:val="single" w:sz="8" w:space="0" w:color="6E9400"/>
              <w:right w:val="nil"/>
            </w:tcBorders>
          </w:tcPr>
          <w:p w14:paraId="3787C6CD" w14:textId="77777777" w:rsidR="00747BBF" w:rsidRPr="00C90D34" w:rsidRDefault="00747BBF" w:rsidP="00747BBF">
            <w:pPr>
              <w:spacing w:after="0"/>
              <w:rPr>
                <w:bCs/>
                <w:lang w:val="en-CA"/>
              </w:rPr>
            </w:pPr>
            <w:r w:rsidRPr="00C90D34">
              <w:rPr>
                <w:bCs/>
                <w:lang w:val="en-CA"/>
              </w:rPr>
              <w:t>Filed bankruptcy</w:t>
            </w:r>
          </w:p>
        </w:tc>
        <w:tc>
          <w:tcPr>
            <w:tcW w:w="2250" w:type="dxa"/>
            <w:gridSpan w:val="3"/>
            <w:tcBorders>
              <w:top w:val="single" w:sz="8" w:space="0" w:color="6E9400"/>
              <w:left w:val="nil"/>
              <w:bottom w:val="single" w:sz="8" w:space="0" w:color="6E9400"/>
              <w:right w:val="nil"/>
            </w:tcBorders>
          </w:tcPr>
          <w:p w14:paraId="6EE26BB4" w14:textId="6646130B" w:rsidR="00747BBF" w:rsidRPr="00C90D34" w:rsidRDefault="00FE64BA" w:rsidP="00747BBF">
            <w:pPr>
              <w:spacing w:after="0"/>
              <w:jc w:val="right"/>
              <w:rPr>
                <w:lang w:val="en-CA"/>
              </w:rPr>
            </w:pPr>
            <w:r>
              <w:rPr>
                <w:lang w:val="en-CA"/>
              </w:rPr>
              <w:t>36</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7F4AD24C" w14:textId="4D2FFACB" w:rsidR="00747BBF" w:rsidRPr="00C90D34" w:rsidRDefault="00FE64BA" w:rsidP="00747BBF">
            <w:pPr>
              <w:spacing w:after="0"/>
              <w:jc w:val="right"/>
              <w:rPr>
                <w:lang w:val="en-CA"/>
              </w:rPr>
            </w:pPr>
            <w:r>
              <w:rPr>
                <w:lang w:val="en-CA"/>
              </w:rPr>
              <w:t>39</w:t>
            </w:r>
            <w:r w:rsidR="00747BBF" w:rsidRPr="00C90D34">
              <w:rPr>
                <w:lang w:val="en-CA"/>
              </w:rPr>
              <w:t>%</w:t>
            </w:r>
          </w:p>
        </w:tc>
      </w:tr>
      <w:tr w:rsidR="00747BBF" w:rsidRPr="00C90D34" w14:paraId="32AE96EB" w14:textId="77777777" w:rsidTr="00D074F0">
        <w:tc>
          <w:tcPr>
            <w:tcW w:w="4165" w:type="dxa"/>
            <w:gridSpan w:val="2"/>
            <w:tcBorders>
              <w:top w:val="single" w:sz="8" w:space="0" w:color="6E9400"/>
              <w:left w:val="single" w:sz="8" w:space="0" w:color="6E9400"/>
              <w:bottom w:val="single" w:sz="8" w:space="0" w:color="6E9400"/>
              <w:right w:val="nil"/>
            </w:tcBorders>
          </w:tcPr>
          <w:p w14:paraId="6BD0F558" w14:textId="77777777" w:rsidR="00747BBF" w:rsidRPr="00C90D34" w:rsidRDefault="00747BBF" w:rsidP="00747BBF">
            <w:pPr>
              <w:spacing w:after="0"/>
              <w:rPr>
                <w:bCs/>
                <w:lang w:val="en-CA"/>
              </w:rPr>
            </w:pPr>
            <w:r w:rsidRPr="00C90D34">
              <w:rPr>
                <w:bCs/>
                <w:lang w:val="en-CA"/>
              </w:rPr>
              <w:t>Filed consumer proposal</w:t>
            </w:r>
          </w:p>
        </w:tc>
        <w:tc>
          <w:tcPr>
            <w:tcW w:w="2250" w:type="dxa"/>
            <w:gridSpan w:val="3"/>
            <w:tcBorders>
              <w:top w:val="single" w:sz="8" w:space="0" w:color="6E9400"/>
              <w:left w:val="nil"/>
              <w:bottom w:val="single" w:sz="8" w:space="0" w:color="6E9400"/>
              <w:right w:val="nil"/>
            </w:tcBorders>
          </w:tcPr>
          <w:p w14:paraId="4A612F5F" w14:textId="4FD487AF" w:rsidR="00747BBF" w:rsidRPr="00C90D34" w:rsidRDefault="00FE64BA" w:rsidP="00747BBF">
            <w:pPr>
              <w:spacing w:after="0"/>
              <w:jc w:val="right"/>
              <w:rPr>
                <w:lang w:val="en-CA"/>
              </w:rPr>
            </w:pPr>
            <w:r>
              <w:rPr>
                <w:lang w:val="en-CA"/>
              </w:rPr>
              <w:t>64</w:t>
            </w:r>
            <w:r w:rsidR="00747BBF" w:rsidRPr="00C90D34">
              <w:rPr>
                <w:lang w:val="en-CA"/>
              </w:rPr>
              <w:t>%</w:t>
            </w:r>
          </w:p>
        </w:tc>
        <w:tc>
          <w:tcPr>
            <w:tcW w:w="2455" w:type="dxa"/>
            <w:tcBorders>
              <w:top w:val="single" w:sz="8" w:space="0" w:color="6E9400"/>
              <w:left w:val="nil"/>
              <w:bottom w:val="single" w:sz="8" w:space="0" w:color="6E9400"/>
              <w:right w:val="single" w:sz="8" w:space="0" w:color="6E9400"/>
            </w:tcBorders>
          </w:tcPr>
          <w:p w14:paraId="0D6339D7" w14:textId="445142DA" w:rsidR="00747BBF" w:rsidRPr="00C90D34" w:rsidRDefault="00FE64BA" w:rsidP="00747BBF">
            <w:pPr>
              <w:spacing w:after="0"/>
              <w:jc w:val="right"/>
              <w:rPr>
                <w:lang w:val="en-CA"/>
              </w:rPr>
            </w:pPr>
            <w:r>
              <w:rPr>
                <w:lang w:val="en-CA"/>
              </w:rPr>
              <w:t>61</w:t>
            </w:r>
            <w:r w:rsidR="00747BBF" w:rsidRPr="00C90D34">
              <w:rPr>
                <w:lang w:val="en-CA"/>
              </w:rPr>
              <w:t>%</w:t>
            </w:r>
          </w:p>
        </w:tc>
      </w:tr>
    </w:tbl>
    <w:p w14:paraId="3A955F66" w14:textId="6E36546B" w:rsidR="000E6DA0" w:rsidRDefault="00267C33" w:rsidP="00267C33">
      <w:pPr>
        <w:pStyle w:val="Heading2"/>
        <w:rPr>
          <w:lang w:val="en-CA"/>
        </w:rPr>
      </w:pPr>
      <w:r>
        <w:rPr>
          <w:lang w:val="en-CA"/>
        </w:rPr>
        <w:t>GENDER – More Women Filing Insolvency</w:t>
      </w:r>
    </w:p>
    <w:p w14:paraId="22F57B31" w14:textId="77777777" w:rsidR="0066147B" w:rsidRDefault="0066147B" w:rsidP="0066147B">
      <w:r w:rsidRPr="0066147B">
        <w:t>We continue to see a rise in women filing insolvency.  As of 2018, 48.6% of insolvencies were filed by female debtors and the rate of insolvencies by gender is converging towards that of the overall adult population which, according to Statistics Canada5, was 50.7% female as of July 1, 2018.</w:t>
      </w:r>
    </w:p>
    <w:p w14:paraId="3C7A4C64" w14:textId="53951C2E" w:rsidR="000E6DA0" w:rsidRPr="0066147B" w:rsidRDefault="0066147B" w:rsidP="0066147B">
      <w:r>
        <w:rPr>
          <w:noProof/>
        </w:rPr>
        <w:lastRenderedPageBreak/>
        <w:drawing>
          <wp:inline distT="0" distB="0" distL="0" distR="0" wp14:anchorId="12410B73" wp14:editId="22D8006D">
            <wp:extent cx="5755640" cy="3459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5640" cy="3459480"/>
                    </a:xfrm>
                    <a:prstGeom prst="rect">
                      <a:avLst/>
                    </a:prstGeom>
                  </pic:spPr>
                </pic:pic>
              </a:graphicData>
            </a:graphic>
          </wp:inline>
        </w:drawing>
      </w:r>
      <w:r w:rsidR="000E6DA0" w:rsidRPr="0066147B">
        <w:t xml:space="preserve"> </w:t>
      </w:r>
    </w:p>
    <w:p w14:paraId="0EC54237" w14:textId="77777777" w:rsidR="001C2F35" w:rsidRPr="001C2F35" w:rsidRDefault="001C2F35" w:rsidP="001C2F35">
      <w:r w:rsidRPr="001C2F35">
        <w:t>As outlined in our 2017 report on </w:t>
      </w:r>
      <w:hyperlink r:id="rId18" w:history="1">
        <w:r w:rsidRPr="001C2F35">
          <w:rPr>
            <w:rStyle w:val="Hyperlink"/>
          </w:rPr>
          <w:t>Women and Bankruptcy</w:t>
        </w:r>
      </w:hyperlink>
      <w:r w:rsidRPr="001C2F35">
        <w:t>, despite carrying 21% less unsecured debt than male debtors, women face an elevated risk of filing insolvency due to 3 primary factors:</w:t>
      </w:r>
    </w:p>
    <w:p w14:paraId="4089F99E" w14:textId="77777777" w:rsidR="001C2F35" w:rsidRPr="001C2F35" w:rsidRDefault="001C2F35" w:rsidP="001C2F35">
      <w:pPr>
        <w:pStyle w:val="ListParagraph"/>
        <w:numPr>
          <w:ilvl w:val="0"/>
          <w:numId w:val="18"/>
        </w:numPr>
      </w:pPr>
      <w:r w:rsidRPr="001C2F35">
        <w:t>Income disparity as women debtors earn less than male debtors. Jane Debtor’s take-home pay is 4.7% below male debtors, while her household income is 6.9% lower.</w:t>
      </w:r>
    </w:p>
    <w:p w14:paraId="083A00BD" w14:textId="77777777" w:rsidR="001C2F35" w:rsidRPr="001C2F35" w:rsidRDefault="001C2F35" w:rsidP="001C2F35">
      <w:pPr>
        <w:pStyle w:val="ListParagraph"/>
        <w:numPr>
          <w:ilvl w:val="0"/>
          <w:numId w:val="18"/>
        </w:numPr>
      </w:pPr>
      <w:r w:rsidRPr="001C2F35">
        <w:t xml:space="preserve">Women are much more likely to be living in a single income household with dependents. More than one in four (26%) female debtors were </w:t>
      </w:r>
      <w:proofErr w:type="gramStart"/>
      <w:r w:rsidRPr="001C2F35">
        <w:t>lone-parents</w:t>
      </w:r>
      <w:proofErr w:type="gramEnd"/>
      <w:r w:rsidRPr="001C2F35">
        <w:t xml:space="preserve"> compared to one in 12 male debtors (8%). Whether divorced (26% for female debtors as compared to 20% for male debtor) or single, Jane Debtor is struggling financially as the primary income earner on a lower household income and uses debt to make ends meet.</w:t>
      </w:r>
    </w:p>
    <w:p w14:paraId="343AFA13" w14:textId="77777777" w:rsidR="001C2F35" w:rsidRPr="001C2F35" w:rsidRDefault="001C2F35" w:rsidP="001C2F35">
      <w:pPr>
        <w:pStyle w:val="ListParagraph"/>
        <w:numPr>
          <w:ilvl w:val="0"/>
          <w:numId w:val="18"/>
        </w:numPr>
      </w:pPr>
      <w:r w:rsidRPr="001C2F35">
        <w:t>Higher exposure to student debt. In 2018, more than one in five (22%) female debtors filed insolvency with student loans compared to 13% for male debtors. With a lower average income combined with a lower rate of consistent employment, women debtors find it more challenging to repay high student loan debt. As a result, Jane debtor owes $15,171 in student loans at the time of her insolvency, 8.2% more than Joe Debtor even though they are roughly the same age and have been repaying their loans for a similar time frame.</w:t>
      </w:r>
    </w:p>
    <w:p w14:paraId="1C7F6A4C" w14:textId="77777777" w:rsidR="00641B13" w:rsidRPr="000659CC" w:rsidRDefault="00641B13" w:rsidP="00641B13">
      <w:pPr>
        <w:pStyle w:val="ListParagraph"/>
        <w:rPr>
          <w:lang w:val="en-CA"/>
        </w:rPr>
      </w:pPr>
    </w:p>
    <w:tbl>
      <w:tblPr>
        <w:tblW w:w="0" w:type="auto"/>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805"/>
        <w:gridCol w:w="1530"/>
        <w:gridCol w:w="1800"/>
      </w:tblGrid>
      <w:tr w:rsidR="000659CC" w:rsidRPr="00C90D34" w14:paraId="3C7218AB" w14:textId="77777777" w:rsidTr="00875F10">
        <w:trPr>
          <w:jc w:val="center"/>
        </w:trPr>
        <w:tc>
          <w:tcPr>
            <w:tcW w:w="3805" w:type="dxa"/>
            <w:tcBorders>
              <w:top w:val="single" w:sz="8" w:space="0" w:color="6E9400"/>
              <w:left w:val="single" w:sz="8" w:space="0" w:color="6E9400"/>
              <w:bottom w:val="single" w:sz="8" w:space="0" w:color="6E9400"/>
            </w:tcBorders>
            <w:shd w:val="clear" w:color="auto" w:fill="6E9400"/>
          </w:tcPr>
          <w:p w14:paraId="284C49E4" w14:textId="77777777" w:rsidR="000659CC" w:rsidRPr="006037A4" w:rsidRDefault="000659CC" w:rsidP="00875F10">
            <w:pPr>
              <w:spacing w:after="0"/>
              <w:rPr>
                <w:b/>
                <w:bCs/>
                <w:color w:val="FFFFFF"/>
                <w:lang w:val="en-CA"/>
              </w:rPr>
            </w:pPr>
            <w:r w:rsidRPr="00EC4EFE">
              <w:rPr>
                <w:b/>
                <w:bCs/>
                <w:color w:val="FFFFFF"/>
                <w:lang w:val="en-CA"/>
              </w:rPr>
              <w:t>Jane/Joe Debtor</w:t>
            </w:r>
          </w:p>
        </w:tc>
        <w:tc>
          <w:tcPr>
            <w:tcW w:w="1530" w:type="dxa"/>
            <w:tcBorders>
              <w:top w:val="single" w:sz="8" w:space="0" w:color="6E9400"/>
              <w:bottom w:val="single" w:sz="8" w:space="0" w:color="6E9400"/>
            </w:tcBorders>
            <w:shd w:val="clear" w:color="auto" w:fill="6E9400"/>
          </w:tcPr>
          <w:p w14:paraId="11BB889F" w14:textId="77777777" w:rsidR="000659CC" w:rsidRPr="006037A4" w:rsidRDefault="000659CC" w:rsidP="00875F10">
            <w:pPr>
              <w:spacing w:after="0"/>
              <w:jc w:val="center"/>
              <w:rPr>
                <w:b/>
                <w:bCs/>
                <w:color w:val="FFFFFF"/>
                <w:lang w:val="en-CA"/>
              </w:rPr>
            </w:pPr>
            <w:r w:rsidRPr="00EC4EFE">
              <w:rPr>
                <w:b/>
                <w:bCs/>
                <w:color w:val="FFFFFF"/>
                <w:lang w:val="en-CA"/>
              </w:rPr>
              <w:t>Female</w:t>
            </w:r>
          </w:p>
        </w:tc>
        <w:tc>
          <w:tcPr>
            <w:tcW w:w="1800" w:type="dxa"/>
            <w:tcBorders>
              <w:top w:val="single" w:sz="8" w:space="0" w:color="6E9400"/>
              <w:bottom w:val="single" w:sz="8" w:space="0" w:color="6E9400"/>
              <w:right w:val="single" w:sz="8" w:space="0" w:color="6E9400"/>
            </w:tcBorders>
            <w:shd w:val="clear" w:color="auto" w:fill="6E9400"/>
          </w:tcPr>
          <w:p w14:paraId="6274F89A" w14:textId="77777777" w:rsidR="000659CC" w:rsidRPr="006037A4" w:rsidRDefault="000659CC" w:rsidP="00875F10">
            <w:pPr>
              <w:spacing w:after="0"/>
              <w:jc w:val="center"/>
              <w:rPr>
                <w:b/>
                <w:bCs/>
                <w:color w:val="FFFFFF"/>
                <w:lang w:val="en-CA"/>
              </w:rPr>
            </w:pPr>
            <w:r w:rsidRPr="00EC4EFE">
              <w:rPr>
                <w:b/>
                <w:bCs/>
                <w:color w:val="FFFFFF"/>
                <w:lang w:val="en-CA"/>
              </w:rPr>
              <w:t>Male</w:t>
            </w:r>
          </w:p>
        </w:tc>
      </w:tr>
      <w:tr w:rsidR="000659CC" w:rsidRPr="00C90D34" w14:paraId="55B2F62B" w14:textId="77777777" w:rsidTr="00875F10">
        <w:trPr>
          <w:jc w:val="center"/>
        </w:trPr>
        <w:tc>
          <w:tcPr>
            <w:tcW w:w="3805" w:type="dxa"/>
            <w:tcBorders>
              <w:top w:val="single" w:sz="8" w:space="0" w:color="6E9400"/>
              <w:left w:val="single" w:sz="8" w:space="0" w:color="6E9400"/>
              <w:bottom w:val="single" w:sz="8" w:space="0" w:color="6E9400"/>
            </w:tcBorders>
          </w:tcPr>
          <w:p w14:paraId="0029211B" w14:textId="77777777" w:rsidR="000659CC" w:rsidRPr="00C90D34" w:rsidRDefault="000659CC" w:rsidP="00875F10">
            <w:pPr>
              <w:spacing w:after="0"/>
              <w:rPr>
                <w:bCs/>
                <w:lang w:val="en-CA"/>
              </w:rPr>
            </w:pPr>
            <w:r w:rsidRPr="00C90D34">
              <w:rPr>
                <w:bCs/>
                <w:lang w:val="en-CA"/>
              </w:rPr>
              <w:t xml:space="preserve">% </w:t>
            </w:r>
            <w:r>
              <w:rPr>
                <w:bCs/>
                <w:lang w:val="en-CA"/>
              </w:rPr>
              <w:t xml:space="preserve">of </w:t>
            </w:r>
            <w:r w:rsidRPr="00C90D34">
              <w:rPr>
                <w:bCs/>
                <w:lang w:val="en-CA"/>
              </w:rPr>
              <w:t>all debtors</w:t>
            </w:r>
          </w:p>
        </w:tc>
        <w:tc>
          <w:tcPr>
            <w:tcW w:w="1530" w:type="dxa"/>
            <w:tcBorders>
              <w:top w:val="single" w:sz="8" w:space="0" w:color="6E9400"/>
              <w:bottom w:val="single" w:sz="8" w:space="0" w:color="6E9400"/>
            </w:tcBorders>
          </w:tcPr>
          <w:p w14:paraId="44E7B923" w14:textId="4C9AD82E" w:rsidR="000659CC" w:rsidRPr="00C90D34" w:rsidRDefault="000659CC" w:rsidP="00875F10">
            <w:pPr>
              <w:spacing w:after="0"/>
              <w:jc w:val="center"/>
              <w:rPr>
                <w:lang w:val="en-CA"/>
              </w:rPr>
            </w:pPr>
            <w:r>
              <w:rPr>
                <w:lang w:val="en-CA"/>
              </w:rPr>
              <w:t>49</w:t>
            </w:r>
            <w:r w:rsidRPr="00C90D34">
              <w:rPr>
                <w:lang w:val="en-CA"/>
              </w:rPr>
              <w:t>%</w:t>
            </w:r>
          </w:p>
        </w:tc>
        <w:tc>
          <w:tcPr>
            <w:tcW w:w="1800" w:type="dxa"/>
            <w:tcBorders>
              <w:top w:val="single" w:sz="8" w:space="0" w:color="6E9400"/>
              <w:bottom w:val="single" w:sz="8" w:space="0" w:color="6E9400"/>
              <w:right w:val="single" w:sz="8" w:space="0" w:color="6E9400"/>
            </w:tcBorders>
          </w:tcPr>
          <w:p w14:paraId="08B653A1" w14:textId="20339C73" w:rsidR="000659CC" w:rsidRPr="00C90D34" w:rsidRDefault="000659CC" w:rsidP="00875F10">
            <w:pPr>
              <w:spacing w:after="0"/>
              <w:jc w:val="center"/>
              <w:rPr>
                <w:lang w:val="en-CA"/>
              </w:rPr>
            </w:pPr>
            <w:r>
              <w:rPr>
                <w:lang w:val="en-CA"/>
              </w:rPr>
              <w:t>51</w:t>
            </w:r>
            <w:r w:rsidRPr="00C90D34">
              <w:rPr>
                <w:lang w:val="en-CA"/>
              </w:rPr>
              <w:t>%</w:t>
            </w:r>
          </w:p>
        </w:tc>
      </w:tr>
      <w:tr w:rsidR="001C2F35" w:rsidRPr="00C90D34" w14:paraId="1FA3AE7B" w14:textId="77777777" w:rsidTr="00875F10">
        <w:trPr>
          <w:jc w:val="center"/>
        </w:trPr>
        <w:tc>
          <w:tcPr>
            <w:tcW w:w="3805" w:type="dxa"/>
            <w:tcBorders>
              <w:top w:val="single" w:sz="8" w:space="0" w:color="6E9400"/>
              <w:left w:val="single" w:sz="8" w:space="0" w:color="6E9400"/>
              <w:bottom w:val="single" w:sz="8" w:space="0" w:color="6E9400"/>
            </w:tcBorders>
          </w:tcPr>
          <w:p w14:paraId="4FE51754" w14:textId="1BA4D892" w:rsidR="001C2F35" w:rsidRPr="00C90D34" w:rsidRDefault="001C2F35" w:rsidP="00875F10">
            <w:pPr>
              <w:spacing w:after="0"/>
              <w:rPr>
                <w:bCs/>
                <w:lang w:val="en-CA"/>
              </w:rPr>
            </w:pPr>
            <w:r>
              <w:rPr>
                <w:bCs/>
                <w:lang w:val="en-CA"/>
              </w:rPr>
              <w:t>Average age</w:t>
            </w:r>
          </w:p>
        </w:tc>
        <w:tc>
          <w:tcPr>
            <w:tcW w:w="1530" w:type="dxa"/>
            <w:tcBorders>
              <w:top w:val="single" w:sz="8" w:space="0" w:color="6E9400"/>
              <w:bottom w:val="single" w:sz="8" w:space="0" w:color="6E9400"/>
            </w:tcBorders>
          </w:tcPr>
          <w:p w14:paraId="22BCC882" w14:textId="2D5A75D0" w:rsidR="001C2F35" w:rsidRPr="00C90D34" w:rsidRDefault="001C2F35" w:rsidP="00875F10">
            <w:pPr>
              <w:spacing w:after="0"/>
              <w:jc w:val="center"/>
              <w:rPr>
                <w:lang w:val="en-CA"/>
              </w:rPr>
            </w:pPr>
            <w:r>
              <w:rPr>
                <w:lang w:val="en-CA"/>
              </w:rPr>
              <w:t>43.0</w:t>
            </w:r>
          </w:p>
        </w:tc>
        <w:tc>
          <w:tcPr>
            <w:tcW w:w="1800" w:type="dxa"/>
            <w:tcBorders>
              <w:top w:val="single" w:sz="8" w:space="0" w:color="6E9400"/>
              <w:bottom w:val="single" w:sz="8" w:space="0" w:color="6E9400"/>
              <w:right w:val="single" w:sz="8" w:space="0" w:color="6E9400"/>
            </w:tcBorders>
          </w:tcPr>
          <w:p w14:paraId="3F64F8A5" w14:textId="145DFB8F" w:rsidR="001C2F35" w:rsidRPr="00C90D34" w:rsidRDefault="001C2F35" w:rsidP="00875F10">
            <w:pPr>
              <w:spacing w:after="0"/>
              <w:jc w:val="center"/>
              <w:rPr>
                <w:lang w:val="en-CA"/>
              </w:rPr>
            </w:pPr>
            <w:r>
              <w:rPr>
                <w:lang w:val="en-CA"/>
              </w:rPr>
              <w:t>43.3</w:t>
            </w:r>
          </w:p>
        </w:tc>
      </w:tr>
      <w:tr w:rsidR="000659CC" w:rsidRPr="00C90D34" w14:paraId="7496BBBB" w14:textId="77777777" w:rsidTr="00875F10">
        <w:trPr>
          <w:jc w:val="center"/>
        </w:trPr>
        <w:tc>
          <w:tcPr>
            <w:tcW w:w="3805" w:type="dxa"/>
            <w:tcBorders>
              <w:top w:val="single" w:sz="8" w:space="0" w:color="6E9400"/>
              <w:left w:val="single" w:sz="8" w:space="0" w:color="6E9400"/>
              <w:bottom w:val="single" w:sz="8" w:space="0" w:color="6E9400"/>
            </w:tcBorders>
          </w:tcPr>
          <w:p w14:paraId="4D9AAFAE" w14:textId="77777777" w:rsidR="000659CC" w:rsidRPr="00C90D34" w:rsidRDefault="000659CC" w:rsidP="00875F10">
            <w:pPr>
              <w:spacing w:after="0"/>
              <w:rPr>
                <w:bCs/>
                <w:lang w:val="en-CA"/>
              </w:rPr>
            </w:pPr>
            <w:r w:rsidRPr="00C90D34">
              <w:rPr>
                <w:bCs/>
                <w:lang w:val="en-CA"/>
              </w:rPr>
              <w:t>Unsecured debt</w:t>
            </w:r>
          </w:p>
        </w:tc>
        <w:tc>
          <w:tcPr>
            <w:tcW w:w="1530" w:type="dxa"/>
            <w:tcBorders>
              <w:top w:val="single" w:sz="8" w:space="0" w:color="6E9400"/>
              <w:bottom w:val="single" w:sz="8" w:space="0" w:color="6E9400"/>
            </w:tcBorders>
          </w:tcPr>
          <w:p w14:paraId="42527ACE" w14:textId="4C7137A1" w:rsidR="000659CC" w:rsidRPr="00C90D34" w:rsidRDefault="000659CC" w:rsidP="00875F10">
            <w:pPr>
              <w:spacing w:after="0"/>
              <w:jc w:val="center"/>
              <w:rPr>
                <w:lang w:val="en-CA"/>
              </w:rPr>
            </w:pPr>
            <w:r w:rsidRPr="00C90D34">
              <w:rPr>
                <w:lang w:val="en-CA"/>
              </w:rPr>
              <w:t>$43,</w:t>
            </w:r>
            <w:r>
              <w:rPr>
                <w:lang w:val="en-CA"/>
              </w:rPr>
              <w:t>414</w:t>
            </w:r>
          </w:p>
        </w:tc>
        <w:tc>
          <w:tcPr>
            <w:tcW w:w="1800" w:type="dxa"/>
            <w:tcBorders>
              <w:top w:val="single" w:sz="8" w:space="0" w:color="6E9400"/>
              <w:bottom w:val="single" w:sz="8" w:space="0" w:color="6E9400"/>
              <w:right w:val="single" w:sz="8" w:space="0" w:color="6E9400"/>
            </w:tcBorders>
          </w:tcPr>
          <w:p w14:paraId="713E0D72" w14:textId="45BA8A17" w:rsidR="000659CC" w:rsidRPr="00C90D34" w:rsidRDefault="000659CC" w:rsidP="00875F10">
            <w:pPr>
              <w:spacing w:after="0"/>
              <w:jc w:val="center"/>
              <w:rPr>
                <w:lang w:val="en-CA"/>
              </w:rPr>
            </w:pPr>
            <w:r w:rsidRPr="00C90D34">
              <w:rPr>
                <w:lang w:val="en-CA"/>
              </w:rPr>
              <w:t>$</w:t>
            </w:r>
            <w:r>
              <w:rPr>
                <w:lang w:val="en-CA"/>
              </w:rPr>
              <w:t>54,835</w:t>
            </w:r>
          </w:p>
        </w:tc>
      </w:tr>
      <w:tr w:rsidR="000659CC" w:rsidRPr="00C90D34" w14:paraId="5A9348CC" w14:textId="77777777" w:rsidTr="00875F10">
        <w:trPr>
          <w:jc w:val="center"/>
        </w:trPr>
        <w:tc>
          <w:tcPr>
            <w:tcW w:w="3805" w:type="dxa"/>
            <w:tcBorders>
              <w:top w:val="single" w:sz="8" w:space="0" w:color="6E9400"/>
              <w:left w:val="single" w:sz="8" w:space="0" w:color="6E9400"/>
              <w:bottom w:val="single" w:sz="8" w:space="0" w:color="6E9400"/>
            </w:tcBorders>
          </w:tcPr>
          <w:p w14:paraId="55ACF5BC" w14:textId="77777777" w:rsidR="000659CC" w:rsidRPr="00C90D34" w:rsidRDefault="000659CC" w:rsidP="00875F10">
            <w:pPr>
              <w:spacing w:after="0"/>
              <w:rPr>
                <w:bCs/>
                <w:lang w:val="en-CA"/>
              </w:rPr>
            </w:pPr>
            <w:r w:rsidRPr="00C90D34">
              <w:rPr>
                <w:bCs/>
                <w:lang w:val="en-CA"/>
              </w:rPr>
              <w:t>Average debtor income</w:t>
            </w:r>
          </w:p>
        </w:tc>
        <w:tc>
          <w:tcPr>
            <w:tcW w:w="1530" w:type="dxa"/>
            <w:tcBorders>
              <w:top w:val="single" w:sz="8" w:space="0" w:color="6E9400"/>
              <w:bottom w:val="single" w:sz="8" w:space="0" w:color="6E9400"/>
            </w:tcBorders>
          </w:tcPr>
          <w:p w14:paraId="675C106D" w14:textId="48435545" w:rsidR="000659CC" w:rsidRPr="00C90D34" w:rsidRDefault="000659CC" w:rsidP="00875F10">
            <w:pPr>
              <w:spacing w:after="0"/>
              <w:jc w:val="center"/>
              <w:rPr>
                <w:lang w:val="en-CA"/>
              </w:rPr>
            </w:pPr>
            <w:r w:rsidRPr="00C90D34">
              <w:rPr>
                <w:lang w:val="en-CA"/>
              </w:rPr>
              <w:t>$</w:t>
            </w:r>
            <w:r>
              <w:rPr>
                <w:lang w:val="en-CA"/>
              </w:rPr>
              <w:t>2,467</w:t>
            </w:r>
          </w:p>
        </w:tc>
        <w:tc>
          <w:tcPr>
            <w:tcW w:w="1800" w:type="dxa"/>
            <w:tcBorders>
              <w:top w:val="single" w:sz="8" w:space="0" w:color="6E9400"/>
              <w:bottom w:val="single" w:sz="8" w:space="0" w:color="6E9400"/>
              <w:right w:val="single" w:sz="8" w:space="0" w:color="6E9400"/>
            </w:tcBorders>
          </w:tcPr>
          <w:p w14:paraId="51EF0B59" w14:textId="1C47F3F8" w:rsidR="000659CC" w:rsidRPr="00C90D34" w:rsidRDefault="000659CC" w:rsidP="00875F10">
            <w:pPr>
              <w:spacing w:after="0"/>
              <w:jc w:val="center"/>
              <w:rPr>
                <w:lang w:val="en-CA"/>
              </w:rPr>
            </w:pPr>
            <w:r w:rsidRPr="00C90D34">
              <w:rPr>
                <w:lang w:val="en-CA"/>
              </w:rPr>
              <w:t>$</w:t>
            </w:r>
            <w:r>
              <w:rPr>
                <w:lang w:val="en-CA"/>
              </w:rPr>
              <w:t>2,589</w:t>
            </w:r>
          </w:p>
        </w:tc>
      </w:tr>
      <w:tr w:rsidR="000659CC" w:rsidRPr="00C90D34" w14:paraId="40D83DF7" w14:textId="77777777" w:rsidTr="00875F10">
        <w:trPr>
          <w:jc w:val="center"/>
        </w:trPr>
        <w:tc>
          <w:tcPr>
            <w:tcW w:w="3805" w:type="dxa"/>
            <w:tcBorders>
              <w:top w:val="single" w:sz="8" w:space="0" w:color="6E9400"/>
              <w:left w:val="single" w:sz="8" w:space="0" w:color="6E9400"/>
              <w:bottom w:val="single" w:sz="8" w:space="0" w:color="6E9400"/>
            </w:tcBorders>
          </w:tcPr>
          <w:p w14:paraId="5F5C906D" w14:textId="77777777" w:rsidR="000659CC" w:rsidRPr="00C90D34" w:rsidRDefault="000659CC" w:rsidP="00875F10">
            <w:pPr>
              <w:spacing w:after="0"/>
              <w:rPr>
                <w:bCs/>
                <w:lang w:val="en-CA"/>
              </w:rPr>
            </w:pPr>
            <w:r w:rsidRPr="00C90D34">
              <w:rPr>
                <w:bCs/>
                <w:lang w:val="en-CA"/>
              </w:rPr>
              <w:t>Average household income</w:t>
            </w:r>
          </w:p>
        </w:tc>
        <w:tc>
          <w:tcPr>
            <w:tcW w:w="1530" w:type="dxa"/>
            <w:tcBorders>
              <w:top w:val="single" w:sz="8" w:space="0" w:color="6E9400"/>
              <w:bottom w:val="single" w:sz="8" w:space="0" w:color="6E9400"/>
            </w:tcBorders>
          </w:tcPr>
          <w:p w14:paraId="7D1D8906" w14:textId="6544B1A7" w:rsidR="000659CC" w:rsidRPr="00C90D34" w:rsidRDefault="000659CC" w:rsidP="00875F10">
            <w:pPr>
              <w:spacing w:after="0"/>
              <w:jc w:val="center"/>
              <w:rPr>
                <w:lang w:val="en-CA"/>
              </w:rPr>
            </w:pPr>
            <w:r w:rsidRPr="00C90D34">
              <w:rPr>
                <w:lang w:val="en-CA"/>
              </w:rPr>
              <w:t>$</w:t>
            </w:r>
            <w:r>
              <w:rPr>
                <w:lang w:val="en-CA"/>
              </w:rPr>
              <w:t>2,885</w:t>
            </w:r>
          </w:p>
        </w:tc>
        <w:tc>
          <w:tcPr>
            <w:tcW w:w="1800" w:type="dxa"/>
            <w:tcBorders>
              <w:top w:val="single" w:sz="8" w:space="0" w:color="6E9400"/>
              <w:bottom w:val="single" w:sz="8" w:space="0" w:color="6E9400"/>
              <w:right w:val="single" w:sz="8" w:space="0" w:color="6E9400"/>
            </w:tcBorders>
          </w:tcPr>
          <w:p w14:paraId="711EACCE" w14:textId="7033BBAF" w:rsidR="000659CC" w:rsidRPr="00C90D34" w:rsidRDefault="000659CC" w:rsidP="00875F10">
            <w:pPr>
              <w:spacing w:after="0"/>
              <w:jc w:val="center"/>
              <w:rPr>
                <w:lang w:val="en-CA"/>
              </w:rPr>
            </w:pPr>
            <w:r w:rsidRPr="00C90D34">
              <w:rPr>
                <w:lang w:val="en-CA"/>
              </w:rPr>
              <w:t>$</w:t>
            </w:r>
            <w:r>
              <w:rPr>
                <w:lang w:val="en-CA"/>
              </w:rPr>
              <w:t>3,100</w:t>
            </w:r>
          </w:p>
        </w:tc>
      </w:tr>
      <w:tr w:rsidR="000659CC" w:rsidRPr="00C90D34" w14:paraId="6B5D8CF8" w14:textId="77777777" w:rsidTr="00875F10">
        <w:trPr>
          <w:jc w:val="center"/>
        </w:trPr>
        <w:tc>
          <w:tcPr>
            <w:tcW w:w="3805" w:type="dxa"/>
            <w:tcBorders>
              <w:top w:val="single" w:sz="8" w:space="0" w:color="6E9400"/>
              <w:left w:val="single" w:sz="8" w:space="0" w:color="6E9400"/>
              <w:bottom w:val="single" w:sz="8" w:space="0" w:color="6E9400"/>
            </w:tcBorders>
          </w:tcPr>
          <w:p w14:paraId="42CE128F" w14:textId="77777777" w:rsidR="000659CC" w:rsidRPr="00B77372" w:rsidRDefault="000659CC" w:rsidP="00875F10">
            <w:pPr>
              <w:spacing w:after="0"/>
              <w:rPr>
                <w:bCs/>
                <w:lang w:val="en-CA"/>
              </w:rPr>
            </w:pPr>
            <w:r w:rsidRPr="00B77372">
              <w:rPr>
                <w:bCs/>
                <w:lang w:val="en-CA"/>
              </w:rPr>
              <w:t>Unsecured debt-to-income</w:t>
            </w:r>
          </w:p>
        </w:tc>
        <w:tc>
          <w:tcPr>
            <w:tcW w:w="1530" w:type="dxa"/>
            <w:tcBorders>
              <w:top w:val="single" w:sz="8" w:space="0" w:color="6E9400"/>
              <w:bottom w:val="single" w:sz="8" w:space="0" w:color="6E9400"/>
            </w:tcBorders>
          </w:tcPr>
          <w:p w14:paraId="76AACC04" w14:textId="1B94E720" w:rsidR="000659CC" w:rsidRPr="00C90D34" w:rsidRDefault="000659CC" w:rsidP="00875F10">
            <w:pPr>
              <w:spacing w:after="0"/>
              <w:jc w:val="center"/>
              <w:rPr>
                <w:lang w:val="en-CA"/>
              </w:rPr>
            </w:pPr>
            <w:r>
              <w:rPr>
                <w:lang w:val="en-CA"/>
              </w:rPr>
              <w:t>147</w:t>
            </w:r>
            <w:r w:rsidRPr="00C90D34">
              <w:rPr>
                <w:lang w:val="en-CA"/>
              </w:rPr>
              <w:t>%</w:t>
            </w:r>
          </w:p>
        </w:tc>
        <w:tc>
          <w:tcPr>
            <w:tcW w:w="1800" w:type="dxa"/>
            <w:tcBorders>
              <w:top w:val="single" w:sz="8" w:space="0" w:color="6E9400"/>
              <w:bottom w:val="single" w:sz="8" w:space="0" w:color="6E9400"/>
              <w:right w:val="single" w:sz="8" w:space="0" w:color="6E9400"/>
            </w:tcBorders>
          </w:tcPr>
          <w:p w14:paraId="1161AE04" w14:textId="1F52019A" w:rsidR="000659CC" w:rsidRPr="00C90D34" w:rsidRDefault="000659CC" w:rsidP="00875F10">
            <w:pPr>
              <w:spacing w:after="0"/>
              <w:jc w:val="center"/>
              <w:rPr>
                <w:lang w:val="en-CA"/>
              </w:rPr>
            </w:pPr>
            <w:r>
              <w:rPr>
                <w:lang w:val="en-CA"/>
              </w:rPr>
              <w:t>177</w:t>
            </w:r>
            <w:r w:rsidRPr="00C90D34">
              <w:rPr>
                <w:lang w:val="en-CA"/>
              </w:rPr>
              <w:t>%</w:t>
            </w:r>
          </w:p>
        </w:tc>
      </w:tr>
      <w:tr w:rsidR="000659CC" w:rsidRPr="00C90D34" w14:paraId="044D9053" w14:textId="77777777" w:rsidTr="00875F10">
        <w:trPr>
          <w:jc w:val="center"/>
        </w:trPr>
        <w:tc>
          <w:tcPr>
            <w:tcW w:w="3805" w:type="dxa"/>
            <w:tcBorders>
              <w:top w:val="single" w:sz="8" w:space="0" w:color="6E9400"/>
              <w:left w:val="single" w:sz="8" w:space="0" w:color="6E9400"/>
              <w:bottom w:val="single" w:sz="8" w:space="0" w:color="6E9400"/>
            </w:tcBorders>
          </w:tcPr>
          <w:p w14:paraId="7EF5E4CD" w14:textId="77777777" w:rsidR="000659CC" w:rsidRPr="00B77372" w:rsidRDefault="000659CC" w:rsidP="00875F10">
            <w:pPr>
              <w:spacing w:after="0"/>
              <w:rPr>
                <w:bCs/>
                <w:lang w:val="en-CA"/>
              </w:rPr>
            </w:pPr>
            <w:r w:rsidRPr="00B77372">
              <w:rPr>
                <w:bCs/>
                <w:lang w:val="en-CA"/>
              </w:rPr>
              <w:lastRenderedPageBreak/>
              <w:t>% employed</w:t>
            </w:r>
          </w:p>
        </w:tc>
        <w:tc>
          <w:tcPr>
            <w:tcW w:w="1530" w:type="dxa"/>
            <w:tcBorders>
              <w:top w:val="single" w:sz="8" w:space="0" w:color="6E9400"/>
              <w:bottom w:val="single" w:sz="8" w:space="0" w:color="6E9400"/>
            </w:tcBorders>
          </w:tcPr>
          <w:p w14:paraId="3A577D17" w14:textId="038190C7" w:rsidR="000659CC" w:rsidRPr="00C90D34" w:rsidRDefault="000659CC" w:rsidP="00875F10">
            <w:pPr>
              <w:spacing w:after="0"/>
              <w:jc w:val="center"/>
              <w:rPr>
                <w:lang w:val="en-CA"/>
              </w:rPr>
            </w:pPr>
            <w:r>
              <w:rPr>
                <w:lang w:val="en-CA"/>
              </w:rPr>
              <w:t>78</w:t>
            </w:r>
            <w:r w:rsidRPr="00C90D34">
              <w:rPr>
                <w:lang w:val="en-CA"/>
              </w:rPr>
              <w:t>%</w:t>
            </w:r>
          </w:p>
        </w:tc>
        <w:tc>
          <w:tcPr>
            <w:tcW w:w="1800" w:type="dxa"/>
            <w:tcBorders>
              <w:top w:val="single" w:sz="8" w:space="0" w:color="6E9400"/>
              <w:bottom w:val="single" w:sz="8" w:space="0" w:color="6E9400"/>
              <w:right w:val="single" w:sz="8" w:space="0" w:color="6E9400"/>
            </w:tcBorders>
          </w:tcPr>
          <w:p w14:paraId="4966B57E" w14:textId="0AA43FE9" w:rsidR="000659CC" w:rsidRPr="00C90D34" w:rsidRDefault="000659CC" w:rsidP="00875F10">
            <w:pPr>
              <w:spacing w:after="0"/>
              <w:jc w:val="center"/>
              <w:rPr>
                <w:lang w:val="en-CA"/>
              </w:rPr>
            </w:pPr>
            <w:r>
              <w:rPr>
                <w:lang w:val="en-CA"/>
              </w:rPr>
              <w:t>84</w:t>
            </w:r>
            <w:r w:rsidRPr="00C90D34">
              <w:rPr>
                <w:lang w:val="en-CA"/>
              </w:rPr>
              <w:t>%</w:t>
            </w:r>
          </w:p>
        </w:tc>
      </w:tr>
      <w:tr w:rsidR="000659CC" w:rsidRPr="00C90D34" w14:paraId="3A1777EC" w14:textId="77777777" w:rsidTr="00875F10">
        <w:trPr>
          <w:jc w:val="center"/>
        </w:trPr>
        <w:tc>
          <w:tcPr>
            <w:tcW w:w="3805" w:type="dxa"/>
            <w:tcBorders>
              <w:top w:val="single" w:sz="8" w:space="0" w:color="6E9400"/>
              <w:left w:val="single" w:sz="8" w:space="0" w:color="6E9400"/>
              <w:bottom w:val="single" w:sz="8" w:space="0" w:color="6E9400"/>
            </w:tcBorders>
          </w:tcPr>
          <w:p w14:paraId="2EA662B2" w14:textId="77777777" w:rsidR="000659CC" w:rsidRPr="00B77372" w:rsidRDefault="000659CC" w:rsidP="00875F10">
            <w:pPr>
              <w:spacing w:after="0"/>
              <w:rPr>
                <w:bCs/>
                <w:lang w:val="en-CA"/>
              </w:rPr>
            </w:pPr>
            <w:r w:rsidRPr="00B77372">
              <w:rPr>
                <w:bCs/>
                <w:lang w:val="en-CA"/>
              </w:rPr>
              <w:t>% divorced</w:t>
            </w:r>
          </w:p>
        </w:tc>
        <w:tc>
          <w:tcPr>
            <w:tcW w:w="1530" w:type="dxa"/>
            <w:tcBorders>
              <w:top w:val="single" w:sz="8" w:space="0" w:color="6E9400"/>
              <w:bottom w:val="single" w:sz="8" w:space="0" w:color="6E9400"/>
            </w:tcBorders>
          </w:tcPr>
          <w:p w14:paraId="40251663" w14:textId="74FC49EC" w:rsidR="000659CC" w:rsidRPr="00C90D34" w:rsidRDefault="000659CC" w:rsidP="00875F10">
            <w:pPr>
              <w:spacing w:after="0"/>
              <w:jc w:val="center"/>
              <w:rPr>
                <w:lang w:val="en-CA"/>
              </w:rPr>
            </w:pPr>
            <w:r>
              <w:rPr>
                <w:lang w:val="en-CA"/>
              </w:rPr>
              <w:t>26</w:t>
            </w:r>
            <w:r w:rsidRPr="00C90D34">
              <w:rPr>
                <w:lang w:val="en-CA"/>
              </w:rPr>
              <w:t>%</w:t>
            </w:r>
          </w:p>
        </w:tc>
        <w:tc>
          <w:tcPr>
            <w:tcW w:w="1800" w:type="dxa"/>
            <w:tcBorders>
              <w:top w:val="single" w:sz="8" w:space="0" w:color="6E9400"/>
              <w:bottom w:val="single" w:sz="8" w:space="0" w:color="6E9400"/>
              <w:right w:val="single" w:sz="8" w:space="0" w:color="6E9400"/>
            </w:tcBorders>
          </w:tcPr>
          <w:p w14:paraId="69D8B7FE" w14:textId="04858B5A" w:rsidR="000659CC" w:rsidRPr="00C90D34" w:rsidRDefault="000659CC" w:rsidP="00875F10">
            <w:pPr>
              <w:spacing w:after="0"/>
              <w:jc w:val="center"/>
              <w:rPr>
                <w:lang w:val="en-CA"/>
              </w:rPr>
            </w:pPr>
            <w:r>
              <w:rPr>
                <w:lang w:val="en-CA"/>
              </w:rPr>
              <w:t>20</w:t>
            </w:r>
            <w:r w:rsidRPr="00C90D34">
              <w:rPr>
                <w:lang w:val="en-CA"/>
              </w:rPr>
              <w:t>%</w:t>
            </w:r>
          </w:p>
        </w:tc>
      </w:tr>
      <w:tr w:rsidR="000659CC" w:rsidRPr="00C90D34" w14:paraId="60EFAFFD" w14:textId="77777777" w:rsidTr="00875F10">
        <w:trPr>
          <w:jc w:val="center"/>
        </w:trPr>
        <w:tc>
          <w:tcPr>
            <w:tcW w:w="3805" w:type="dxa"/>
            <w:tcBorders>
              <w:top w:val="single" w:sz="8" w:space="0" w:color="6E9400"/>
              <w:left w:val="single" w:sz="8" w:space="0" w:color="6E9400"/>
              <w:bottom w:val="single" w:sz="8" w:space="0" w:color="6E9400"/>
            </w:tcBorders>
          </w:tcPr>
          <w:p w14:paraId="31605ABF" w14:textId="77777777" w:rsidR="000659CC" w:rsidRPr="00B77372" w:rsidRDefault="000659CC" w:rsidP="00875F10">
            <w:pPr>
              <w:spacing w:after="0"/>
              <w:rPr>
                <w:bCs/>
                <w:lang w:val="en-CA"/>
              </w:rPr>
            </w:pPr>
            <w:r w:rsidRPr="00B77372">
              <w:rPr>
                <w:bCs/>
                <w:lang w:val="en-CA"/>
              </w:rPr>
              <w:t>% with dependant(s)</w:t>
            </w:r>
          </w:p>
        </w:tc>
        <w:tc>
          <w:tcPr>
            <w:tcW w:w="1530" w:type="dxa"/>
            <w:tcBorders>
              <w:top w:val="single" w:sz="8" w:space="0" w:color="6E9400"/>
              <w:bottom w:val="single" w:sz="8" w:space="0" w:color="6E9400"/>
            </w:tcBorders>
          </w:tcPr>
          <w:p w14:paraId="58862C33" w14:textId="4B891420" w:rsidR="000659CC" w:rsidRPr="00C90D34" w:rsidRDefault="000659CC" w:rsidP="00875F10">
            <w:pPr>
              <w:spacing w:after="0"/>
              <w:jc w:val="center"/>
              <w:rPr>
                <w:lang w:val="en-CA"/>
              </w:rPr>
            </w:pPr>
            <w:r>
              <w:rPr>
                <w:lang w:val="en-CA"/>
              </w:rPr>
              <w:t>42</w:t>
            </w:r>
            <w:r w:rsidRPr="00C90D34">
              <w:rPr>
                <w:lang w:val="en-CA"/>
              </w:rPr>
              <w:t>%</w:t>
            </w:r>
          </w:p>
        </w:tc>
        <w:tc>
          <w:tcPr>
            <w:tcW w:w="1800" w:type="dxa"/>
            <w:tcBorders>
              <w:top w:val="single" w:sz="8" w:space="0" w:color="6E9400"/>
              <w:bottom w:val="single" w:sz="8" w:space="0" w:color="6E9400"/>
              <w:right w:val="single" w:sz="8" w:space="0" w:color="6E9400"/>
            </w:tcBorders>
          </w:tcPr>
          <w:p w14:paraId="2E5A8010" w14:textId="20C087FF" w:rsidR="000659CC" w:rsidRPr="00C90D34" w:rsidRDefault="000659CC" w:rsidP="00875F10">
            <w:pPr>
              <w:spacing w:after="0"/>
              <w:jc w:val="center"/>
              <w:rPr>
                <w:lang w:val="en-CA"/>
              </w:rPr>
            </w:pPr>
            <w:r>
              <w:rPr>
                <w:lang w:val="en-CA"/>
              </w:rPr>
              <w:t>29</w:t>
            </w:r>
            <w:r w:rsidRPr="00C90D34">
              <w:rPr>
                <w:lang w:val="en-CA"/>
              </w:rPr>
              <w:t>%</w:t>
            </w:r>
          </w:p>
        </w:tc>
      </w:tr>
      <w:tr w:rsidR="000659CC" w:rsidRPr="00C90D34" w14:paraId="413C22EB" w14:textId="77777777" w:rsidTr="00875F10">
        <w:trPr>
          <w:jc w:val="center"/>
        </w:trPr>
        <w:tc>
          <w:tcPr>
            <w:tcW w:w="3805" w:type="dxa"/>
            <w:tcBorders>
              <w:top w:val="single" w:sz="8" w:space="0" w:color="6E9400"/>
              <w:left w:val="single" w:sz="8" w:space="0" w:color="6E9400"/>
              <w:bottom w:val="single" w:sz="8" w:space="0" w:color="6E9400"/>
            </w:tcBorders>
          </w:tcPr>
          <w:p w14:paraId="663F765E" w14:textId="77777777" w:rsidR="000659CC" w:rsidRPr="00B77372" w:rsidRDefault="000659CC" w:rsidP="00875F10">
            <w:pPr>
              <w:spacing w:after="0"/>
              <w:rPr>
                <w:bCs/>
                <w:lang w:val="en-CA"/>
              </w:rPr>
            </w:pPr>
            <w:r w:rsidRPr="00B77372">
              <w:rPr>
                <w:bCs/>
                <w:lang w:val="en-CA"/>
              </w:rPr>
              <w:t xml:space="preserve">% </w:t>
            </w:r>
            <w:proofErr w:type="gramStart"/>
            <w:r w:rsidRPr="00B77372">
              <w:rPr>
                <w:bCs/>
                <w:lang w:val="en-CA"/>
              </w:rPr>
              <w:t>lone-parents</w:t>
            </w:r>
            <w:proofErr w:type="gramEnd"/>
          </w:p>
        </w:tc>
        <w:tc>
          <w:tcPr>
            <w:tcW w:w="1530" w:type="dxa"/>
            <w:tcBorders>
              <w:top w:val="single" w:sz="8" w:space="0" w:color="6E9400"/>
              <w:bottom w:val="single" w:sz="8" w:space="0" w:color="6E9400"/>
            </w:tcBorders>
          </w:tcPr>
          <w:p w14:paraId="2BACDED9" w14:textId="46638568" w:rsidR="000659CC" w:rsidRPr="00C90D34" w:rsidRDefault="000659CC" w:rsidP="00875F10">
            <w:pPr>
              <w:spacing w:after="0"/>
              <w:jc w:val="center"/>
              <w:rPr>
                <w:lang w:val="en-CA"/>
              </w:rPr>
            </w:pPr>
            <w:r>
              <w:rPr>
                <w:lang w:val="en-CA"/>
              </w:rPr>
              <w:t>26</w:t>
            </w:r>
            <w:r w:rsidRPr="00C90D34">
              <w:rPr>
                <w:lang w:val="en-CA"/>
              </w:rPr>
              <w:t>%</w:t>
            </w:r>
          </w:p>
        </w:tc>
        <w:tc>
          <w:tcPr>
            <w:tcW w:w="1800" w:type="dxa"/>
            <w:tcBorders>
              <w:top w:val="single" w:sz="8" w:space="0" w:color="6E9400"/>
              <w:bottom w:val="single" w:sz="8" w:space="0" w:color="6E9400"/>
              <w:right w:val="single" w:sz="8" w:space="0" w:color="6E9400"/>
            </w:tcBorders>
          </w:tcPr>
          <w:p w14:paraId="21EDF77C" w14:textId="1ED66E92" w:rsidR="000659CC" w:rsidRPr="00C90D34" w:rsidRDefault="000659CC" w:rsidP="00875F10">
            <w:pPr>
              <w:tabs>
                <w:tab w:val="left" w:pos="641"/>
                <w:tab w:val="center" w:pos="785"/>
              </w:tabs>
              <w:spacing w:after="0"/>
              <w:rPr>
                <w:lang w:val="en-CA"/>
              </w:rPr>
            </w:pPr>
            <w:r w:rsidRPr="00C90D34">
              <w:rPr>
                <w:lang w:val="en-CA"/>
              </w:rPr>
              <w:tab/>
            </w:r>
            <w:r>
              <w:rPr>
                <w:lang w:val="en-CA"/>
              </w:rPr>
              <w:t>8</w:t>
            </w:r>
            <w:r w:rsidRPr="00C90D34">
              <w:rPr>
                <w:lang w:val="en-CA"/>
              </w:rPr>
              <w:t>%</w:t>
            </w:r>
          </w:p>
        </w:tc>
      </w:tr>
      <w:tr w:rsidR="000659CC" w:rsidRPr="00C90D34" w14:paraId="24BE98B5" w14:textId="77777777" w:rsidTr="00875F10">
        <w:trPr>
          <w:jc w:val="center"/>
        </w:trPr>
        <w:tc>
          <w:tcPr>
            <w:tcW w:w="3805" w:type="dxa"/>
            <w:tcBorders>
              <w:top w:val="single" w:sz="8" w:space="0" w:color="6E9400"/>
              <w:left w:val="single" w:sz="8" w:space="0" w:color="6E9400"/>
              <w:bottom w:val="single" w:sz="8" w:space="0" w:color="6E9400"/>
            </w:tcBorders>
          </w:tcPr>
          <w:p w14:paraId="3B14672A" w14:textId="5A97F27E" w:rsidR="00F13498" w:rsidRPr="00B77372" w:rsidRDefault="000659CC" w:rsidP="00875F10">
            <w:pPr>
              <w:spacing w:after="0"/>
              <w:rPr>
                <w:bCs/>
                <w:lang w:val="en-CA"/>
              </w:rPr>
            </w:pPr>
            <w:r w:rsidRPr="00B77372">
              <w:rPr>
                <w:bCs/>
                <w:lang w:val="en-CA"/>
              </w:rPr>
              <w:t>% with student debt</w:t>
            </w:r>
          </w:p>
        </w:tc>
        <w:tc>
          <w:tcPr>
            <w:tcW w:w="1530" w:type="dxa"/>
            <w:tcBorders>
              <w:top w:val="single" w:sz="8" w:space="0" w:color="6E9400"/>
              <w:bottom w:val="single" w:sz="8" w:space="0" w:color="6E9400"/>
            </w:tcBorders>
          </w:tcPr>
          <w:p w14:paraId="18C68F46" w14:textId="3351ADF4" w:rsidR="000659CC" w:rsidRPr="00C90D34" w:rsidRDefault="004D715E" w:rsidP="00875F10">
            <w:pPr>
              <w:spacing w:after="0"/>
              <w:jc w:val="center"/>
              <w:rPr>
                <w:lang w:val="en-CA"/>
              </w:rPr>
            </w:pPr>
            <w:r>
              <w:rPr>
                <w:lang w:val="en-CA"/>
              </w:rPr>
              <w:t>22</w:t>
            </w:r>
            <w:r w:rsidR="000659CC" w:rsidRPr="00C90D34">
              <w:rPr>
                <w:lang w:val="en-CA"/>
              </w:rPr>
              <w:t>%</w:t>
            </w:r>
          </w:p>
        </w:tc>
        <w:tc>
          <w:tcPr>
            <w:tcW w:w="1800" w:type="dxa"/>
            <w:tcBorders>
              <w:top w:val="single" w:sz="8" w:space="0" w:color="6E9400"/>
              <w:bottom w:val="single" w:sz="8" w:space="0" w:color="6E9400"/>
              <w:right w:val="single" w:sz="8" w:space="0" w:color="6E9400"/>
            </w:tcBorders>
          </w:tcPr>
          <w:p w14:paraId="1473422E" w14:textId="793062C1" w:rsidR="000659CC" w:rsidRPr="00C90D34" w:rsidRDefault="004D715E" w:rsidP="00875F10">
            <w:pPr>
              <w:spacing w:after="0"/>
              <w:jc w:val="center"/>
              <w:rPr>
                <w:lang w:val="en-CA"/>
              </w:rPr>
            </w:pPr>
            <w:r>
              <w:rPr>
                <w:lang w:val="en-CA"/>
              </w:rPr>
              <w:t>13</w:t>
            </w:r>
            <w:r w:rsidR="000659CC" w:rsidRPr="00C90D34">
              <w:rPr>
                <w:lang w:val="en-CA"/>
              </w:rPr>
              <w:t>%</w:t>
            </w:r>
          </w:p>
        </w:tc>
      </w:tr>
      <w:tr w:rsidR="00F13498" w:rsidRPr="00C90D34" w14:paraId="465D527B" w14:textId="77777777" w:rsidTr="00F13498">
        <w:trPr>
          <w:jc w:val="center"/>
        </w:trPr>
        <w:tc>
          <w:tcPr>
            <w:tcW w:w="3805" w:type="dxa"/>
            <w:tcBorders>
              <w:top w:val="single" w:sz="8" w:space="0" w:color="6E9400"/>
              <w:left w:val="single" w:sz="8" w:space="0" w:color="6E9400"/>
              <w:bottom w:val="single" w:sz="8" w:space="0" w:color="6E9400"/>
            </w:tcBorders>
          </w:tcPr>
          <w:p w14:paraId="280451EB" w14:textId="0DCC3BEE" w:rsidR="00F13498" w:rsidRPr="00B77372" w:rsidRDefault="00F13498" w:rsidP="00875F10">
            <w:pPr>
              <w:spacing w:after="0"/>
              <w:rPr>
                <w:bCs/>
                <w:lang w:val="en-CA"/>
              </w:rPr>
            </w:pPr>
            <w:r w:rsidRPr="00B77372">
              <w:rPr>
                <w:bCs/>
                <w:lang w:val="en-CA"/>
              </w:rPr>
              <w:t xml:space="preserve">Average student </w:t>
            </w:r>
            <w:proofErr w:type="spellStart"/>
            <w:r w:rsidRPr="00B77372">
              <w:rPr>
                <w:bCs/>
                <w:lang w:val="en-CA"/>
              </w:rPr>
              <w:t>debt</w:t>
            </w:r>
            <w:r w:rsidRPr="00B77372">
              <w:rPr>
                <w:bCs/>
                <w:vertAlign w:val="superscript"/>
                <w:lang w:val="en-CA"/>
              </w:rPr>
              <w:t>a</w:t>
            </w:r>
            <w:proofErr w:type="spellEnd"/>
          </w:p>
        </w:tc>
        <w:tc>
          <w:tcPr>
            <w:tcW w:w="1530" w:type="dxa"/>
            <w:tcBorders>
              <w:top w:val="single" w:sz="8" w:space="0" w:color="6E9400"/>
              <w:bottom w:val="single" w:sz="8" w:space="0" w:color="6E9400"/>
            </w:tcBorders>
          </w:tcPr>
          <w:p w14:paraId="48C76615" w14:textId="04EC1213" w:rsidR="00F13498" w:rsidRDefault="004D715E" w:rsidP="00875F10">
            <w:pPr>
              <w:spacing w:after="0"/>
              <w:jc w:val="center"/>
              <w:rPr>
                <w:lang w:val="en-CA"/>
              </w:rPr>
            </w:pPr>
            <w:r>
              <w:rPr>
                <w:lang w:val="en-CA"/>
              </w:rPr>
              <w:t>$15,171</w:t>
            </w:r>
          </w:p>
        </w:tc>
        <w:tc>
          <w:tcPr>
            <w:tcW w:w="1800" w:type="dxa"/>
            <w:tcBorders>
              <w:top w:val="single" w:sz="8" w:space="0" w:color="6E9400"/>
              <w:bottom w:val="single" w:sz="8" w:space="0" w:color="6E9400"/>
              <w:right w:val="single" w:sz="8" w:space="0" w:color="6E9400"/>
            </w:tcBorders>
          </w:tcPr>
          <w:p w14:paraId="24A418EF" w14:textId="2C5AE7AA" w:rsidR="00F13498" w:rsidRDefault="004D715E" w:rsidP="00875F10">
            <w:pPr>
              <w:spacing w:after="0"/>
              <w:jc w:val="center"/>
              <w:rPr>
                <w:lang w:val="en-CA"/>
              </w:rPr>
            </w:pPr>
            <w:r>
              <w:rPr>
                <w:lang w:val="en-CA"/>
              </w:rPr>
              <w:t>$14,021</w:t>
            </w:r>
          </w:p>
        </w:tc>
      </w:tr>
      <w:tr w:rsidR="00F13498" w:rsidRPr="00C90D34" w14:paraId="41D7F211" w14:textId="77777777" w:rsidTr="00F13498">
        <w:trPr>
          <w:trHeight w:val="261"/>
          <w:jc w:val="center"/>
        </w:trPr>
        <w:tc>
          <w:tcPr>
            <w:tcW w:w="7135" w:type="dxa"/>
            <w:gridSpan w:val="3"/>
            <w:tcBorders>
              <w:top w:val="single" w:sz="8" w:space="0" w:color="6E9400"/>
              <w:left w:val="nil"/>
              <w:bottom w:val="nil"/>
              <w:right w:val="nil"/>
            </w:tcBorders>
          </w:tcPr>
          <w:p w14:paraId="7F56D936" w14:textId="2B8410D7" w:rsidR="00F13498" w:rsidRDefault="00F13498" w:rsidP="00F13498">
            <w:pPr>
              <w:spacing w:after="0"/>
              <w:rPr>
                <w:lang w:val="en-CA"/>
              </w:rPr>
            </w:pPr>
            <w:r w:rsidRPr="00F13498">
              <w:rPr>
                <w:sz w:val="20"/>
                <w:lang w:val="en-CA"/>
              </w:rPr>
              <w:t>a - those with student loans</w:t>
            </w:r>
          </w:p>
        </w:tc>
      </w:tr>
    </w:tbl>
    <w:p w14:paraId="2553B29D" w14:textId="2D89500F" w:rsidR="00834FF8" w:rsidRDefault="00834FF8" w:rsidP="007F3083">
      <w:pPr>
        <w:spacing w:before="240" w:after="360"/>
        <w:rPr>
          <w:lang w:val="en-CA"/>
        </w:rPr>
      </w:pPr>
    </w:p>
    <w:p w14:paraId="7343C405" w14:textId="5AE9FB3A" w:rsidR="00CA53F3" w:rsidRPr="00C90D34" w:rsidRDefault="00267C33" w:rsidP="00DF0FD9">
      <w:pPr>
        <w:pStyle w:val="Heading2"/>
        <w:rPr>
          <w:lang w:val="en-CA"/>
        </w:rPr>
      </w:pPr>
      <w:r>
        <w:rPr>
          <w:lang w:val="en-CA"/>
        </w:rPr>
        <w:t>AGE</w:t>
      </w:r>
      <w:r w:rsidR="007C752D">
        <w:rPr>
          <w:lang w:val="en-CA"/>
        </w:rPr>
        <w:t xml:space="preserve"> – More Younger Debtors</w:t>
      </w:r>
    </w:p>
    <w:p w14:paraId="09C3E257" w14:textId="072D2FCE" w:rsidR="00CA53F3" w:rsidRPr="00450D20" w:rsidRDefault="00450D20" w:rsidP="00450D20">
      <w:r w:rsidRPr="00450D20">
        <w:t>The average insolvent debtor in 2018 was 43.2 years old, younger than 43.5 in 2017.  As noted in our earlier section on Millennials filing insolvency, the percentage of young debtors has increased while the percentage of debtors over 40 has declined. Debtors aged 30 to 39 make up the largest age group of filers.</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232AB2" w:rsidRPr="00C90D34" w14:paraId="3E676C22" w14:textId="77777777" w:rsidTr="001C5FFF">
        <w:trPr>
          <w:jc w:val="center"/>
        </w:trPr>
        <w:tc>
          <w:tcPr>
            <w:tcW w:w="3110" w:type="dxa"/>
            <w:tcBorders>
              <w:top w:val="single" w:sz="8" w:space="0" w:color="6E9400"/>
              <w:left w:val="single" w:sz="8" w:space="0" w:color="6E9400"/>
              <w:bottom w:val="single" w:sz="8" w:space="0" w:color="6E9400"/>
            </w:tcBorders>
            <w:shd w:val="clear" w:color="auto" w:fill="6E9400"/>
          </w:tcPr>
          <w:p w14:paraId="142987FD" w14:textId="77777777" w:rsidR="00232AB2" w:rsidRPr="006037A4" w:rsidRDefault="00232AB2" w:rsidP="001C5FFF">
            <w:pPr>
              <w:spacing w:after="0"/>
              <w:rPr>
                <w:b/>
                <w:bCs/>
                <w:color w:val="FFFFFF"/>
                <w:lang w:val="en-CA"/>
              </w:rPr>
            </w:pPr>
            <w:r w:rsidRPr="00EC4EFE">
              <w:rPr>
                <w:b/>
                <w:bCs/>
                <w:color w:val="FFFFFF"/>
                <w:lang w:val="en-CA"/>
              </w:rPr>
              <w:t>Age Distribution</w:t>
            </w:r>
          </w:p>
        </w:tc>
        <w:tc>
          <w:tcPr>
            <w:tcW w:w="2031" w:type="dxa"/>
            <w:tcBorders>
              <w:top w:val="single" w:sz="8" w:space="0" w:color="6E9400"/>
              <w:bottom w:val="single" w:sz="8" w:space="0" w:color="6E9400"/>
            </w:tcBorders>
            <w:shd w:val="clear" w:color="auto" w:fill="6E9400"/>
            <w:vAlign w:val="bottom"/>
          </w:tcPr>
          <w:p w14:paraId="1852ADC9" w14:textId="1813D7D2" w:rsidR="00232AB2" w:rsidRPr="00C90D34" w:rsidRDefault="00232AB2" w:rsidP="001C5FFF">
            <w:pPr>
              <w:spacing w:after="0"/>
              <w:jc w:val="center"/>
              <w:rPr>
                <w:b/>
                <w:bCs/>
                <w:color w:val="FFFFFF"/>
                <w:lang w:val="en-CA"/>
              </w:rPr>
            </w:pPr>
            <w:r>
              <w:rPr>
                <w:b/>
                <w:bCs/>
                <w:color w:val="FFFFFF"/>
                <w:lang w:val="en-CA"/>
              </w:rPr>
              <w:t>2016</w:t>
            </w:r>
          </w:p>
        </w:tc>
        <w:tc>
          <w:tcPr>
            <w:tcW w:w="2031" w:type="dxa"/>
            <w:tcBorders>
              <w:top w:val="single" w:sz="8" w:space="0" w:color="6E9400"/>
              <w:bottom w:val="single" w:sz="8" w:space="0" w:color="6E9400"/>
            </w:tcBorders>
            <w:shd w:val="clear" w:color="auto" w:fill="6E9400"/>
          </w:tcPr>
          <w:p w14:paraId="36E1A653" w14:textId="0ABBF0B5" w:rsidR="00232AB2" w:rsidRPr="00C90D34" w:rsidRDefault="00232AB2" w:rsidP="001C5FFF">
            <w:pPr>
              <w:spacing w:after="0"/>
              <w:jc w:val="center"/>
              <w:rPr>
                <w:b/>
                <w:bCs/>
                <w:color w:val="FFFFFF"/>
                <w:lang w:val="en-CA"/>
              </w:rPr>
            </w:pPr>
            <w:r>
              <w:rPr>
                <w:b/>
                <w:bCs/>
                <w:color w:val="FFFFFF"/>
                <w:lang w:val="en-CA"/>
              </w:rPr>
              <w:t>2017</w:t>
            </w:r>
          </w:p>
        </w:tc>
        <w:tc>
          <w:tcPr>
            <w:tcW w:w="2032" w:type="dxa"/>
            <w:tcBorders>
              <w:top w:val="single" w:sz="8" w:space="0" w:color="6E9400"/>
              <w:bottom w:val="single" w:sz="8" w:space="0" w:color="6E9400"/>
              <w:right w:val="single" w:sz="8" w:space="0" w:color="6E9400"/>
            </w:tcBorders>
            <w:shd w:val="clear" w:color="auto" w:fill="6E9400"/>
          </w:tcPr>
          <w:p w14:paraId="09B6A1BC" w14:textId="444DA694" w:rsidR="00232AB2" w:rsidRPr="00C90D34" w:rsidRDefault="00232AB2" w:rsidP="001C5FFF">
            <w:pPr>
              <w:spacing w:after="0"/>
              <w:jc w:val="center"/>
              <w:rPr>
                <w:b/>
                <w:bCs/>
                <w:color w:val="FFFFFF"/>
                <w:lang w:val="en-CA"/>
              </w:rPr>
            </w:pPr>
            <w:r>
              <w:rPr>
                <w:b/>
                <w:bCs/>
                <w:color w:val="FFFFFF"/>
                <w:lang w:val="en-CA"/>
              </w:rPr>
              <w:t>2018</w:t>
            </w:r>
          </w:p>
        </w:tc>
      </w:tr>
      <w:tr w:rsidR="00232AB2" w:rsidRPr="00C90D34" w14:paraId="59A5D421" w14:textId="77777777" w:rsidTr="001C5FFF">
        <w:trPr>
          <w:jc w:val="center"/>
        </w:trPr>
        <w:tc>
          <w:tcPr>
            <w:tcW w:w="3110" w:type="dxa"/>
            <w:tcBorders>
              <w:top w:val="single" w:sz="8" w:space="0" w:color="94C600"/>
              <w:left w:val="single" w:sz="8" w:space="0" w:color="94C600"/>
              <w:bottom w:val="single" w:sz="8" w:space="0" w:color="94C600"/>
            </w:tcBorders>
          </w:tcPr>
          <w:p w14:paraId="20AC2F18" w14:textId="77777777" w:rsidR="00232AB2" w:rsidRPr="00C93767" w:rsidRDefault="00232AB2" w:rsidP="001C5FFF">
            <w:pPr>
              <w:spacing w:after="0"/>
              <w:rPr>
                <w:bCs/>
                <w:lang w:val="en-CA"/>
              </w:rPr>
            </w:pPr>
            <w:r w:rsidRPr="00C93767">
              <w:rPr>
                <w:bCs/>
                <w:lang w:val="en-CA"/>
              </w:rPr>
              <w:t>18</w:t>
            </w:r>
            <w:r w:rsidRPr="00C93767">
              <w:rPr>
                <w:rFonts w:ascii="Times New Roman" w:hAnsi="Times New Roman" w:cs="Times New Roman"/>
                <w:bCs/>
                <w:lang w:val="en-CA"/>
              </w:rPr>
              <w:t>–</w:t>
            </w:r>
            <w:r w:rsidRPr="00C93767">
              <w:rPr>
                <w:bCs/>
                <w:lang w:val="en-CA"/>
              </w:rPr>
              <w:t>29</w:t>
            </w:r>
          </w:p>
        </w:tc>
        <w:tc>
          <w:tcPr>
            <w:tcW w:w="2031" w:type="dxa"/>
            <w:tcBorders>
              <w:top w:val="single" w:sz="8" w:space="0" w:color="94C600"/>
              <w:bottom w:val="single" w:sz="8" w:space="0" w:color="94C600"/>
            </w:tcBorders>
          </w:tcPr>
          <w:p w14:paraId="08975DED" w14:textId="4090D906" w:rsidR="00232AB2" w:rsidRPr="00C90D34" w:rsidRDefault="00232AB2" w:rsidP="001C5FFF">
            <w:pPr>
              <w:spacing w:after="0"/>
              <w:jc w:val="center"/>
              <w:rPr>
                <w:lang w:val="en-CA"/>
              </w:rPr>
            </w:pPr>
            <w:r>
              <w:rPr>
                <w:lang w:val="en-CA"/>
              </w:rPr>
              <w:t>14</w:t>
            </w:r>
            <w:r w:rsidRPr="00C90D34">
              <w:rPr>
                <w:lang w:val="en-CA"/>
              </w:rPr>
              <w:t>%</w:t>
            </w:r>
          </w:p>
        </w:tc>
        <w:tc>
          <w:tcPr>
            <w:tcW w:w="2031" w:type="dxa"/>
            <w:tcBorders>
              <w:top w:val="single" w:sz="8" w:space="0" w:color="94C600"/>
              <w:bottom w:val="single" w:sz="8" w:space="0" w:color="94C600"/>
            </w:tcBorders>
          </w:tcPr>
          <w:p w14:paraId="31FAF509" w14:textId="5B5DE9EF" w:rsidR="00232AB2" w:rsidRPr="00C90D34" w:rsidRDefault="00232AB2" w:rsidP="001C5FFF">
            <w:pPr>
              <w:spacing w:after="0"/>
              <w:jc w:val="center"/>
              <w:rPr>
                <w:lang w:val="en-CA"/>
              </w:rPr>
            </w:pPr>
            <w:r>
              <w:rPr>
                <w:lang w:val="en-CA"/>
              </w:rPr>
              <w:t>16</w:t>
            </w:r>
            <w:r w:rsidRPr="00C90D34">
              <w:rPr>
                <w:lang w:val="en-CA"/>
              </w:rPr>
              <w:t>%</w:t>
            </w:r>
          </w:p>
        </w:tc>
        <w:tc>
          <w:tcPr>
            <w:tcW w:w="2032" w:type="dxa"/>
            <w:tcBorders>
              <w:top w:val="single" w:sz="8" w:space="0" w:color="94C600"/>
              <w:bottom w:val="single" w:sz="8" w:space="0" w:color="94C600"/>
              <w:right w:val="single" w:sz="8" w:space="0" w:color="94C600"/>
            </w:tcBorders>
          </w:tcPr>
          <w:p w14:paraId="03972CFF" w14:textId="31B436FC" w:rsidR="00232AB2" w:rsidRPr="00C90D34" w:rsidRDefault="00232AB2" w:rsidP="001C5FFF">
            <w:pPr>
              <w:spacing w:after="0"/>
              <w:jc w:val="center"/>
              <w:rPr>
                <w:lang w:val="en-CA"/>
              </w:rPr>
            </w:pPr>
            <w:r>
              <w:rPr>
                <w:lang w:val="en-CA"/>
              </w:rPr>
              <w:t>15</w:t>
            </w:r>
            <w:r w:rsidRPr="00C90D34">
              <w:rPr>
                <w:lang w:val="en-CA"/>
              </w:rPr>
              <w:t>%</w:t>
            </w:r>
          </w:p>
        </w:tc>
      </w:tr>
      <w:tr w:rsidR="00232AB2" w:rsidRPr="00C90D34" w14:paraId="15C6904F" w14:textId="77777777" w:rsidTr="001C5FFF">
        <w:trPr>
          <w:jc w:val="center"/>
        </w:trPr>
        <w:tc>
          <w:tcPr>
            <w:tcW w:w="3110" w:type="dxa"/>
            <w:tcBorders>
              <w:top w:val="single" w:sz="8" w:space="0" w:color="6E9400"/>
              <w:left w:val="single" w:sz="8" w:space="0" w:color="6E9400"/>
              <w:bottom w:val="single" w:sz="8" w:space="0" w:color="6E9400"/>
            </w:tcBorders>
          </w:tcPr>
          <w:p w14:paraId="49C7D73F" w14:textId="77777777" w:rsidR="00232AB2" w:rsidRPr="00C93767" w:rsidRDefault="00232AB2" w:rsidP="001C5FFF">
            <w:pPr>
              <w:spacing w:after="0"/>
              <w:rPr>
                <w:bCs/>
                <w:lang w:val="en-CA"/>
              </w:rPr>
            </w:pPr>
            <w:r w:rsidRPr="00C93767">
              <w:rPr>
                <w:bCs/>
                <w:lang w:val="en-CA"/>
              </w:rPr>
              <w:t>30</w:t>
            </w:r>
            <w:r w:rsidRPr="00C93767">
              <w:rPr>
                <w:rFonts w:ascii="Times New Roman" w:hAnsi="Times New Roman" w:cs="Times New Roman"/>
                <w:bCs/>
                <w:lang w:val="en-CA"/>
              </w:rPr>
              <w:t>–</w:t>
            </w:r>
            <w:r w:rsidRPr="00C93767">
              <w:rPr>
                <w:bCs/>
                <w:lang w:val="en-CA"/>
              </w:rPr>
              <w:t>39</w:t>
            </w:r>
          </w:p>
        </w:tc>
        <w:tc>
          <w:tcPr>
            <w:tcW w:w="2031" w:type="dxa"/>
            <w:tcBorders>
              <w:top w:val="single" w:sz="8" w:space="0" w:color="6E9400"/>
              <w:bottom w:val="single" w:sz="8" w:space="0" w:color="6E9400"/>
            </w:tcBorders>
          </w:tcPr>
          <w:p w14:paraId="12995CE3" w14:textId="0FF9561C" w:rsidR="00232AB2" w:rsidRPr="00C90D34" w:rsidRDefault="00232AB2" w:rsidP="001C5FFF">
            <w:pPr>
              <w:spacing w:after="0"/>
              <w:jc w:val="center"/>
              <w:rPr>
                <w:lang w:val="en-CA"/>
              </w:rPr>
            </w:pPr>
            <w:r>
              <w:rPr>
                <w:lang w:val="en-CA"/>
              </w:rPr>
              <w:t>28</w:t>
            </w:r>
            <w:r w:rsidRPr="00C90D34">
              <w:rPr>
                <w:lang w:val="en-CA"/>
              </w:rPr>
              <w:t>%</w:t>
            </w:r>
          </w:p>
        </w:tc>
        <w:tc>
          <w:tcPr>
            <w:tcW w:w="2031" w:type="dxa"/>
            <w:tcBorders>
              <w:top w:val="single" w:sz="8" w:space="0" w:color="6E9400"/>
              <w:bottom w:val="single" w:sz="8" w:space="0" w:color="6E9400"/>
            </w:tcBorders>
          </w:tcPr>
          <w:p w14:paraId="208D3181" w14:textId="77777777" w:rsidR="00232AB2" w:rsidRPr="00C90D34" w:rsidRDefault="00232AB2" w:rsidP="001C5FFF">
            <w:pPr>
              <w:spacing w:after="0"/>
              <w:jc w:val="center"/>
              <w:rPr>
                <w:lang w:val="en-CA"/>
              </w:rPr>
            </w:pPr>
            <w:r w:rsidRPr="00C90D34">
              <w:rPr>
                <w:lang w:val="en-CA"/>
              </w:rPr>
              <w:t>29%</w:t>
            </w:r>
          </w:p>
        </w:tc>
        <w:tc>
          <w:tcPr>
            <w:tcW w:w="2032" w:type="dxa"/>
            <w:tcBorders>
              <w:top w:val="single" w:sz="8" w:space="0" w:color="6E9400"/>
              <w:bottom w:val="single" w:sz="8" w:space="0" w:color="6E9400"/>
              <w:right w:val="single" w:sz="8" w:space="0" w:color="6E9400"/>
            </w:tcBorders>
          </w:tcPr>
          <w:p w14:paraId="63B0EED0" w14:textId="6FC23BFD" w:rsidR="00232AB2" w:rsidRPr="00C90D34" w:rsidRDefault="00232AB2" w:rsidP="001C5FFF">
            <w:pPr>
              <w:spacing w:after="0"/>
              <w:jc w:val="center"/>
              <w:rPr>
                <w:lang w:val="en-CA"/>
              </w:rPr>
            </w:pPr>
            <w:r>
              <w:rPr>
                <w:lang w:val="en-CA"/>
              </w:rPr>
              <w:t>30</w:t>
            </w:r>
            <w:r w:rsidRPr="00C90D34">
              <w:rPr>
                <w:lang w:val="en-CA"/>
              </w:rPr>
              <w:t>%</w:t>
            </w:r>
          </w:p>
        </w:tc>
      </w:tr>
      <w:tr w:rsidR="00232AB2" w:rsidRPr="00C90D34" w14:paraId="3730C268" w14:textId="77777777" w:rsidTr="001C5FFF">
        <w:trPr>
          <w:jc w:val="center"/>
        </w:trPr>
        <w:tc>
          <w:tcPr>
            <w:tcW w:w="3110" w:type="dxa"/>
            <w:tcBorders>
              <w:top w:val="single" w:sz="8" w:space="0" w:color="94C600"/>
              <w:left w:val="single" w:sz="8" w:space="0" w:color="94C600"/>
              <w:bottom w:val="single" w:sz="8" w:space="0" w:color="94C600"/>
            </w:tcBorders>
          </w:tcPr>
          <w:p w14:paraId="7D9AEC01" w14:textId="77777777" w:rsidR="00232AB2" w:rsidRPr="00C93767" w:rsidRDefault="00232AB2" w:rsidP="001C5FFF">
            <w:pPr>
              <w:spacing w:after="0"/>
              <w:rPr>
                <w:bCs/>
                <w:lang w:val="en-CA"/>
              </w:rPr>
            </w:pPr>
            <w:r w:rsidRPr="00C93767">
              <w:rPr>
                <w:bCs/>
                <w:lang w:val="en-CA"/>
              </w:rPr>
              <w:t>40</w:t>
            </w:r>
            <w:r w:rsidRPr="00C93767">
              <w:rPr>
                <w:rFonts w:ascii="Times New Roman" w:hAnsi="Times New Roman" w:cs="Times New Roman"/>
                <w:bCs/>
                <w:lang w:val="en-CA"/>
              </w:rPr>
              <w:t>–</w:t>
            </w:r>
            <w:r w:rsidRPr="00C93767">
              <w:rPr>
                <w:bCs/>
                <w:lang w:val="en-CA"/>
              </w:rPr>
              <w:t>49</w:t>
            </w:r>
          </w:p>
        </w:tc>
        <w:tc>
          <w:tcPr>
            <w:tcW w:w="2031" w:type="dxa"/>
            <w:tcBorders>
              <w:top w:val="single" w:sz="8" w:space="0" w:color="94C600"/>
              <w:bottom w:val="single" w:sz="8" w:space="0" w:color="94C600"/>
            </w:tcBorders>
          </w:tcPr>
          <w:p w14:paraId="3B5CE33E" w14:textId="6E9F640E" w:rsidR="00232AB2" w:rsidRPr="00C90D34" w:rsidRDefault="00232AB2" w:rsidP="001C5FFF">
            <w:pPr>
              <w:spacing w:after="0"/>
              <w:jc w:val="center"/>
              <w:rPr>
                <w:lang w:val="en-CA"/>
              </w:rPr>
            </w:pPr>
            <w:r>
              <w:rPr>
                <w:lang w:val="en-CA"/>
              </w:rPr>
              <w:t>26</w:t>
            </w:r>
            <w:r w:rsidRPr="00C90D34">
              <w:rPr>
                <w:lang w:val="en-CA"/>
              </w:rPr>
              <w:t>%</w:t>
            </w:r>
          </w:p>
        </w:tc>
        <w:tc>
          <w:tcPr>
            <w:tcW w:w="2031" w:type="dxa"/>
            <w:tcBorders>
              <w:top w:val="single" w:sz="8" w:space="0" w:color="94C600"/>
              <w:bottom w:val="single" w:sz="8" w:space="0" w:color="94C600"/>
            </w:tcBorders>
          </w:tcPr>
          <w:p w14:paraId="7586852E" w14:textId="4D11D244" w:rsidR="00232AB2" w:rsidRPr="00C90D34" w:rsidRDefault="00232AB2" w:rsidP="001C5FFF">
            <w:pPr>
              <w:spacing w:after="0"/>
              <w:jc w:val="center"/>
              <w:rPr>
                <w:lang w:val="en-CA"/>
              </w:rPr>
            </w:pPr>
            <w:r>
              <w:rPr>
                <w:lang w:val="en-CA"/>
              </w:rPr>
              <w:t>25</w:t>
            </w:r>
            <w:r w:rsidRPr="00C90D34">
              <w:rPr>
                <w:lang w:val="en-CA"/>
              </w:rPr>
              <w:t>%</w:t>
            </w:r>
          </w:p>
        </w:tc>
        <w:tc>
          <w:tcPr>
            <w:tcW w:w="2032" w:type="dxa"/>
            <w:tcBorders>
              <w:top w:val="single" w:sz="8" w:space="0" w:color="94C600"/>
              <w:bottom w:val="single" w:sz="8" w:space="0" w:color="94C600"/>
              <w:right w:val="single" w:sz="8" w:space="0" w:color="94C600"/>
            </w:tcBorders>
          </w:tcPr>
          <w:p w14:paraId="44B036BD" w14:textId="13E8ED8A" w:rsidR="00232AB2" w:rsidRPr="00C90D34" w:rsidRDefault="00232AB2" w:rsidP="001C5FFF">
            <w:pPr>
              <w:spacing w:after="0"/>
              <w:jc w:val="center"/>
              <w:rPr>
                <w:lang w:val="en-CA"/>
              </w:rPr>
            </w:pPr>
            <w:r>
              <w:rPr>
                <w:lang w:val="en-CA"/>
              </w:rPr>
              <w:t>25</w:t>
            </w:r>
            <w:r w:rsidRPr="00C90D34">
              <w:rPr>
                <w:lang w:val="en-CA"/>
              </w:rPr>
              <w:t>%</w:t>
            </w:r>
          </w:p>
        </w:tc>
      </w:tr>
      <w:tr w:rsidR="00232AB2" w:rsidRPr="00C90D34" w14:paraId="6219339B" w14:textId="77777777" w:rsidTr="001C5FFF">
        <w:trPr>
          <w:jc w:val="center"/>
        </w:trPr>
        <w:tc>
          <w:tcPr>
            <w:tcW w:w="3110" w:type="dxa"/>
            <w:tcBorders>
              <w:top w:val="single" w:sz="8" w:space="0" w:color="6E9400"/>
              <w:left w:val="single" w:sz="8" w:space="0" w:color="6E9400"/>
              <w:bottom w:val="single" w:sz="8" w:space="0" w:color="6E9400"/>
            </w:tcBorders>
          </w:tcPr>
          <w:p w14:paraId="649EF023" w14:textId="77777777" w:rsidR="00232AB2" w:rsidRPr="00C93767" w:rsidRDefault="00232AB2" w:rsidP="001C5FFF">
            <w:pPr>
              <w:spacing w:after="0"/>
              <w:rPr>
                <w:bCs/>
                <w:lang w:val="en-CA"/>
              </w:rPr>
            </w:pPr>
            <w:r w:rsidRPr="00C93767">
              <w:rPr>
                <w:bCs/>
                <w:lang w:val="en-CA"/>
              </w:rPr>
              <w:t>50</w:t>
            </w:r>
            <w:r w:rsidRPr="00C93767">
              <w:rPr>
                <w:rFonts w:ascii="Times New Roman" w:hAnsi="Times New Roman" w:cs="Times New Roman"/>
                <w:bCs/>
                <w:lang w:val="en-CA"/>
              </w:rPr>
              <w:t>–</w:t>
            </w:r>
            <w:r w:rsidRPr="00C93767">
              <w:rPr>
                <w:bCs/>
                <w:lang w:val="en-CA"/>
              </w:rPr>
              <w:t>59</w:t>
            </w:r>
          </w:p>
        </w:tc>
        <w:tc>
          <w:tcPr>
            <w:tcW w:w="2031" w:type="dxa"/>
            <w:tcBorders>
              <w:top w:val="single" w:sz="8" w:space="0" w:color="6E9400"/>
              <w:bottom w:val="single" w:sz="8" w:space="0" w:color="6E9400"/>
            </w:tcBorders>
          </w:tcPr>
          <w:p w14:paraId="406F5F2F" w14:textId="535932E3" w:rsidR="00232AB2" w:rsidRPr="00C90D34" w:rsidRDefault="00232AB2" w:rsidP="001C5FFF">
            <w:pPr>
              <w:spacing w:after="0"/>
              <w:jc w:val="center"/>
              <w:rPr>
                <w:lang w:val="en-CA"/>
              </w:rPr>
            </w:pPr>
            <w:r>
              <w:rPr>
                <w:lang w:val="en-CA"/>
              </w:rPr>
              <w:t>20</w:t>
            </w:r>
            <w:r w:rsidRPr="00C90D34">
              <w:rPr>
                <w:lang w:val="en-CA"/>
              </w:rPr>
              <w:t>%</w:t>
            </w:r>
          </w:p>
        </w:tc>
        <w:tc>
          <w:tcPr>
            <w:tcW w:w="2031" w:type="dxa"/>
            <w:tcBorders>
              <w:top w:val="single" w:sz="8" w:space="0" w:color="6E9400"/>
              <w:bottom w:val="single" w:sz="8" w:space="0" w:color="6E9400"/>
            </w:tcBorders>
          </w:tcPr>
          <w:p w14:paraId="0BA35A34" w14:textId="50B15EBC" w:rsidR="00232AB2" w:rsidRPr="00C90D34" w:rsidRDefault="00232AB2" w:rsidP="001C5FFF">
            <w:pPr>
              <w:spacing w:after="0"/>
              <w:jc w:val="center"/>
              <w:rPr>
                <w:lang w:val="en-CA"/>
              </w:rPr>
            </w:pPr>
            <w:r>
              <w:rPr>
                <w:lang w:val="en-CA"/>
              </w:rPr>
              <w:t>18</w:t>
            </w:r>
            <w:r w:rsidRPr="00C90D34">
              <w:rPr>
                <w:lang w:val="en-CA"/>
              </w:rPr>
              <w:t>%</w:t>
            </w:r>
          </w:p>
        </w:tc>
        <w:tc>
          <w:tcPr>
            <w:tcW w:w="2032" w:type="dxa"/>
            <w:tcBorders>
              <w:top w:val="single" w:sz="8" w:space="0" w:color="6E9400"/>
              <w:bottom w:val="single" w:sz="8" w:space="0" w:color="6E9400"/>
              <w:right w:val="single" w:sz="8" w:space="0" w:color="6E9400"/>
            </w:tcBorders>
          </w:tcPr>
          <w:p w14:paraId="14C84559" w14:textId="77777777" w:rsidR="00232AB2" w:rsidRPr="00C90D34" w:rsidRDefault="00232AB2" w:rsidP="001C5FFF">
            <w:pPr>
              <w:spacing w:after="0"/>
              <w:jc w:val="center"/>
              <w:rPr>
                <w:lang w:val="en-CA"/>
              </w:rPr>
            </w:pPr>
            <w:r w:rsidRPr="00C90D34">
              <w:rPr>
                <w:lang w:val="en-CA"/>
              </w:rPr>
              <w:t>18%</w:t>
            </w:r>
          </w:p>
        </w:tc>
      </w:tr>
      <w:tr w:rsidR="00232AB2" w:rsidRPr="00C90D34" w14:paraId="02344CD4" w14:textId="77777777" w:rsidTr="001C5FFF">
        <w:trPr>
          <w:jc w:val="center"/>
        </w:trPr>
        <w:tc>
          <w:tcPr>
            <w:tcW w:w="3110" w:type="dxa"/>
            <w:tcBorders>
              <w:top w:val="single" w:sz="8" w:space="0" w:color="94C600"/>
              <w:left w:val="single" w:sz="8" w:space="0" w:color="94C600"/>
              <w:bottom w:val="single" w:sz="8" w:space="0" w:color="94C600"/>
            </w:tcBorders>
          </w:tcPr>
          <w:p w14:paraId="7BDDBE10" w14:textId="77777777" w:rsidR="00232AB2" w:rsidRPr="00C93767" w:rsidRDefault="00232AB2" w:rsidP="001C5FFF">
            <w:pPr>
              <w:spacing w:after="0"/>
              <w:rPr>
                <w:bCs/>
                <w:lang w:val="en-CA"/>
              </w:rPr>
            </w:pPr>
            <w:r w:rsidRPr="00C93767">
              <w:rPr>
                <w:bCs/>
                <w:lang w:val="en-CA"/>
              </w:rPr>
              <w:t>60+</w:t>
            </w:r>
          </w:p>
        </w:tc>
        <w:tc>
          <w:tcPr>
            <w:tcW w:w="2031" w:type="dxa"/>
            <w:tcBorders>
              <w:top w:val="single" w:sz="8" w:space="0" w:color="94C600"/>
              <w:bottom w:val="single" w:sz="8" w:space="0" w:color="94C600"/>
            </w:tcBorders>
          </w:tcPr>
          <w:p w14:paraId="04D15637" w14:textId="1AFFEF5E" w:rsidR="00232AB2" w:rsidRPr="00C90D34" w:rsidRDefault="00232AB2" w:rsidP="001C5FFF">
            <w:pPr>
              <w:spacing w:after="0"/>
              <w:jc w:val="center"/>
              <w:rPr>
                <w:lang w:val="en-CA"/>
              </w:rPr>
            </w:pPr>
            <w:r>
              <w:rPr>
                <w:lang w:val="en-CA"/>
              </w:rPr>
              <w:t>12</w:t>
            </w:r>
            <w:r w:rsidRPr="00C90D34">
              <w:rPr>
                <w:lang w:val="en-CA"/>
              </w:rPr>
              <w:t>%</w:t>
            </w:r>
          </w:p>
        </w:tc>
        <w:tc>
          <w:tcPr>
            <w:tcW w:w="2031" w:type="dxa"/>
            <w:tcBorders>
              <w:top w:val="single" w:sz="8" w:space="0" w:color="94C600"/>
              <w:bottom w:val="single" w:sz="8" w:space="0" w:color="94C600"/>
            </w:tcBorders>
          </w:tcPr>
          <w:p w14:paraId="6DE52CC2" w14:textId="6F09E5C0" w:rsidR="00232AB2" w:rsidRPr="00C90D34" w:rsidRDefault="00232AB2" w:rsidP="001C5FFF">
            <w:pPr>
              <w:spacing w:after="0"/>
              <w:jc w:val="center"/>
              <w:rPr>
                <w:lang w:val="en-CA"/>
              </w:rPr>
            </w:pPr>
            <w:r>
              <w:rPr>
                <w:lang w:val="en-CA"/>
              </w:rPr>
              <w:t>14</w:t>
            </w:r>
            <w:r w:rsidRPr="00C90D34">
              <w:rPr>
                <w:lang w:val="en-CA"/>
              </w:rPr>
              <w:t>%</w:t>
            </w:r>
          </w:p>
        </w:tc>
        <w:tc>
          <w:tcPr>
            <w:tcW w:w="2032" w:type="dxa"/>
            <w:tcBorders>
              <w:top w:val="single" w:sz="8" w:space="0" w:color="94C600"/>
              <w:bottom w:val="single" w:sz="8" w:space="0" w:color="94C600"/>
              <w:right w:val="single" w:sz="8" w:space="0" w:color="94C600"/>
            </w:tcBorders>
          </w:tcPr>
          <w:p w14:paraId="0BF2F1D6" w14:textId="0F6320F7" w:rsidR="00232AB2" w:rsidRPr="00C90D34" w:rsidRDefault="00232AB2" w:rsidP="001C5FFF">
            <w:pPr>
              <w:spacing w:after="0"/>
              <w:jc w:val="center"/>
              <w:rPr>
                <w:lang w:val="en-CA"/>
              </w:rPr>
            </w:pPr>
            <w:r>
              <w:rPr>
                <w:lang w:val="en-CA"/>
              </w:rPr>
              <w:t>12</w:t>
            </w:r>
            <w:r w:rsidRPr="00C90D34">
              <w:rPr>
                <w:lang w:val="en-CA"/>
              </w:rPr>
              <w:t>%</w:t>
            </w:r>
          </w:p>
        </w:tc>
      </w:tr>
    </w:tbl>
    <w:p w14:paraId="4A4CF6F7" w14:textId="05AB4397" w:rsidR="00E02BEF" w:rsidRDefault="00E02BEF" w:rsidP="00E02BEF">
      <w:pPr>
        <w:rPr>
          <w:lang w:val="en-CA"/>
        </w:rPr>
      </w:pPr>
    </w:p>
    <w:p w14:paraId="56D3CC80" w14:textId="158ECE78" w:rsidR="00267C33" w:rsidRDefault="00267C33" w:rsidP="00267C33">
      <w:pPr>
        <w:pStyle w:val="Heading2"/>
        <w:rPr>
          <w:lang w:val="en-CA"/>
        </w:rPr>
      </w:pPr>
      <w:r>
        <w:rPr>
          <w:lang w:val="en-CA"/>
        </w:rPr>
        <w:t>MARITAL STATUS</w:t>
      </w:r>
      <w:r w:rsidR="007C752D">
        <w:rPr>
          <w:lang w:val="en-CA"/>
        </w:rPr>
        <w:t xml:space="preserve"> – Much More Likely to Be Single</w:t>
      </w:r>
    </w:p>
    <w:p w14:paraId="1D3A20E4" w14:textId="5F795FD4" w:rsidR="00C93767" w:rsidRDefault="00C93767" w:rsidP="00C93767">
      <w:pPr>
        <w:rPr>
          <w:lang w:val="en-CA"/>
        </w:rPr>
      </w:pPr>
      <w:r>
        <w:rPr>
          <w:lang w:val="en-CA"/>
        </w:rPr>
        <w:t>Joe Debtor is now much more likely to be single, a significant shif</w:t>
      </w:r>
      <w:r w:rsidR="00E84763">
        <w:rPr>
          <w:lang w:val="en-CA"/>
        </w:rPr>
        <w:t>t from prior years. Until 2016, Joe Debtor was more likely to be married. In 2018, 42% of all debtors were single, while 32% are married.  We also see a decline in the percentage of debtors who are divorced or separated at the time of insolvency.</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C93767" w:rsidRPr="00C90D34" w14:paraId="50A06E81" w14:textId="77777777" w:rsidTr="001C5FFF">
        <w:trPr>
          <w:jc w:val="center"/>
        </w:trPr>
        <w:tc>
          <w:tcPr>
            <w:tcW w:w="3110" w:type="dxa"/>
            <w:tcBorders>
              <w:top w:val="single" w:sz="8" w:space="0" w:color="6E9400"/>
              <w:left w:val="single" w:sz="8" w:space="0" w:color="6E9400"/>
              <w:bottom w:val="single" w:sz="8" w:space="0" w:color="6E9400"/>
            </w:tcBorders>
            <w:shd w:val="clear" w:color="auto" w:fill="6E9400"/>
          </w:tcPr>
          <w:p w14:paraId="579DFE7A" w14:textId="2BAAC361" w:rsidR="00C93767" w:rsidRPr="006037A4" w:rsidRDefault="00C93767" w:rsidP="001C5FFF">
            <w:pPr>
              <w:spacing w:after="0"/>
              <w:rPr>
                <w:b/>
                <w:bCs/>
                <w:color w:val="FFFFFF"/>
                <w:lang w:val="en-CA"/>
              </w:rPr>
            </w:pPr>
            <w:r>
              <w:rPr>
                <w:b/>
                <w:bCs/>
                <w:color w:val="FFFFFF"/>
                <w:lang w:val="en-CA"/>
              </w:rPr>
              <w:t>Marital Status</w:t>
            </w:r>
          </w:p>
        </w:tc>
        <w:tc>
          <w:tcPr>
            <w:tcW w:w="2031" w:type="dxa"/>
            <w:tcBorders>
              <w:top w:val="single" w:sz="8" w:space="0" w:color="6E9400"/>
              <w:bottom w:val="single" w:sz="8" w:space="0" w:color="6E9400"/>
            </w:tcBorders>
            <w:shd w:val="clear" w:color="auto" w:fill="6E9400"/>
            <w:vAlign w:val="bottom"/>
          </w:tcPr>
          <w:p w14:paraId="63388096" w14:textId="77777777" w:rsidR="00C93767" w:rsidRPr="00C90D34" w:rsidRDefault="00C93767" w:rsidP="001C5FFF">
            <w:pPr>
              <w:spacing w:after="0"/>
              <w:jc w:val="center"/>
              <w:rPr>
                <w:b/>
                <w:bCs/>
                <w:color w:val="FFFFFF"/>
                <w:lang w:val="en-CA"/>
              </w:rPr>
            </w:pPr>
            <w:r>
              <w:rPr>
                <w:b/>
                <w:bCs/>
                <w:color w:val="FFFFFF"/>
                <w:lang w:val="en-CA"/>
              </w:rPr>
              <w:t>2016</w:t>
            </w:r>
          </w:p>
        </w:tc>
        <w:tc>
          <w:tcPr>
            <w:tcW w:w="2031" w:type="dxa"/>
            <w:tcBorders>
              <w:top w:val="single" w:sz="8" w:space="0" w:color="6E9400"/>
              <w:bottom w:val="single" w:sz="8" w:space="0" w:color="6E9400"/>
            </w:tcBorders>
            <w:shd w:val="clear" w:color="auto" w:fill="6E9400"/>
          </w:tcPr>
          <w:p w14:paraId="09A9D469" w14:textId="77777777" w:rsidR="00C93767" w:rsidRPr="00C90D34" w:rsidRDefault="00C93767" w:rsidP="001C5FFF">
            <w:pPr>
              <w:spacing w:after="0"/>
              <w:jc w:val="center"/>
              <w:rPr>
                <w:b/>
                <w:bCs/>
                <w:color w:val="FFFFFF"/>
                <w:lang w:val="en-CA"/>
              </w:rPr>
            </w:pPr>
            <w:r>
              <w:rPr>
                <w:b/>
                <w:bCs/>
                <w:color w:val="FFFFFF"/>
                <w:lang w:val="en-CA"/>
              </w:rPr>
              <w:t>2017</w:t>
            </w:r>
          </w:p>
        </w:tc>
        <w:tc>
          <w:tcPr>
            <w:tcW w:w="2032" w:type="dxa"/>
            <w:tcBorders>
              <w:top w:val="single" w:sz="8" w:space="0" w:color="6E9400"/>
              <w:bottom w:val="single" w:sz="8" w:space="0" w:color="6E9400"/>
              <w:right w:val="single" w:sz="8" w:space="0" w:color="6E9400"/>
            </w:tcBorders>
            <w:shd w:val="clear" w:color="auto" w:fill="6E9400"/>
          </w:tcPr>
          <w:p w14:paraId="5346726C" w14:textId="77777777" w:rsidR="00C93767" w:rsidRPr="00C90D34" w:rsidRDefault="00C93767" w:rsidP="001C5FFF">
            <w:pPr>
              <w:spacing w:after="0"/>
              <w:jc w:val="center"/>
              <w:rPr>
                <w:b/>
                <w:bCs/>
                <w:color w:val="FFFFFF"/>
                <w:lang w:val="en-CA"/>
              </w:rPr>
            </w:pPr>
            <w:r>
              <w:rPr>
                <w:b/>
                <w:bCs/>
                <w:color w:val="FFFFFF"/>
                <w:lang w:val="en-CA"/>
              </w:rPr>
              <w:t>2018</w:t>
            </w:r>
          </w:p>
        </w:tc>
      </w:tr>
      <w:tr w:rsidR="00C93767" w:rsidRPr="00C90D34" w14:paraId="1FF4804E" w14:textId="77777777" w:rsidTr="001C5FFF">
        <w:trPr>
          <w:jc w:val="center"/>
        </w:trPr>
        <w:tc>
          <w:tcPr>
            <w:tcW w:w="3110" w:type="dxa"/>
            <w:tcBorders>
              <w:top w:val="single" w:sz="8" w:space="0" w:color="94C600"/>
              <w:left w:val="single" w:sz="8" w:space="0" w:color="94C600"/>
              <w:bottom w:val="single" w:sz="8" w:space="0" w:color="94C600"/>
            </w:tcBorders>
          </w:tcPr>
          <w:p w14:paraId="35BC1977" w14:textId="464275FF" w:rsidR="00C93767" w:rsidRPr="00C93767" w:rsidRDefault="00C93767" w:rsidP="001C5FFF">
            <w:pPr>
              <w:spacing w:after="0"/>
              <w:rPr>
                <w:bCs/>
                <w:lang w:val="en-CA"/>
              </w:rPr>
            </w:pPr>
            <w:r>
              <w:rPr>
                <w:bCs/>
                <w:lang w:val="en-CA"/>
              </w:rPr>
              <w:t>Single</w:t>
            </w:r>
          </w:p>
        </w:tc>
        <w:tc>
          <w:tcPr>
            <w:tcW w:w="2031" w:type="dxa"/>
            <w:tcBorders>
              <w:top w:val="single" w:sz="8" w:space="0" w:color="94C600"/>
              <w:bottom w:val="single" w:sz="8" w:space="0" w:color="94C600"/>
            </w:tcBorders>
          </w:tcPr>
          <w:p w14:paraId="0C29B277" w14:textId="0572A682" w:rsidR="00C93767" w:rsidRPr="00C90D34" w:rsidRDefault="00C93767" w:rsidP="001C5FFF">
            <w:pPr>
              <w:spacing w:after="0"/>
              <w:jc w:val="center"/>
              <w:rPr>
                <w:lang w:val="en-CA"/>
              </w:rPr>
            </w:pPr>
            <w:r>
              <w:rPr>
                <w:lang w:val="en-CA"/>
              </w:rPr>
              <w:t>35</w:t>
            </w:r>
            <w:r w:rsidRPr="00C90D34">
              <w:rPr>
                <w:lang w:val="en-CA"/>
              </w:rPr>
              <w:t>%</w:t>
            </w:r>
          </w:p>
        </w:tc>
        <w:tc>
          <w:tcPr>
            <w:tcW w:w="2031" w:type="dxa"/>
            <w:tcBorders>
              <w:top w:val="single" w:sz="8" w:space="0" w:color="94C600"/>
              <w:bottom w:val="single" w:sz="8" w:space="0" w:color="94C600"/>
            </w:tcBorders>
          </w:tcPr>
          <w:p w14:paraId="36B0369A" w14:textId="6B96C551" w:rsidR="00C93767" w:rsidRPr="00C90D34" w:rsidRDefault="00C93767" w:rsidP="001C5FFF">
            <w:pPr>
              <w:spacing w:after="0"/>
              <w:jc w:val="center"/>
              <w:rPr>
                <w:lang w:val="en-CA"/>
              </w:rPr>
            </w:pPr>
            <w:r>
              <w:rPr>
                <w:lang w:val="en-CA"/>
              </w:rPr>
              <w:t>39</w:t>
            </w:r>
            <w:r w:rsidRPr="00C90D34">
              <w:rPr>
                <w:lang w:val="en-CA"/>
              </w:rPr>
              <w:t>%</w:t>
            </w:r>
          </w:p>
        </w:tc>
        <w:tc>
          <w:tcPr>
            <w:tcW w:w="2032" w:type="dxa"/>
            <w:tcBorders>
              <w:top w:val="single" w:sz="8" w:space="0" w:color="94C600"/>
              <w:bottom w:val="single" w:sz="8" w:space="0" w:color="94C600"/>
              <w:right w:val="single" w:sz="8" w:space="0" w:color="94C600"/>
            </w:tcBorders>
          </w:tcPr>
          <w:p w14:paraId="212B94B4" w14:textId="4716109C" w:rsidR="00C93767" w:rsidRPr="00C90D34" w:rsidRDefault="00C93767" w:rsidP="001C5FFF">
            <w:pPr>
              <w:spacing w:after="0"/>
              <w:jc w:val="center"/>
              <w:rPr>
                <w:lang w:val="en-CA"/>
              </w:rPr>
            </w:pPr>
            <w:r>
              <w:rPr>
                <w:lang w:val="en-CA"/>
              </w:rPr>
              <w:t>42</w:t>
            </w:r>
            <w:r w:rsidRPr="00C90D34">
              <w:rPr>
                <w:lang w:val="en-CA"/>
              </w:rPr>
              <w:t>%</w:t>
            </w:r>
          </w:p>
        </w:tc>
      </w:tr>
      <w:tr w:rsidR="00C93767" w:rsidRPr="00C90D34" w14:paraId="502BC98D" w14:textId="77777777" w:rsidTr="001C5FFF">
        <w:trPr>
          <w:jc w:val="center"/>
        </w:trPr>
        <w:tc>
          <w:tcPr>
            <w:tcW w:w="3110" w:type="dxa"/>
            <w:tcBorders>
              <w:top w:val="single" w:sz="8" w:space="0" w:color="6E9400"/>
              <w:left w:val="single" w:sz="8" w:space="0" w:color="6E9400"/>
              <w:bottom w:val="single" w:sz="8" w:space="0" w:color="6E9400"/>
            </w:tcBorders>
          </w:tcPr>
          <w:p w14:paraId="01EAEBAF" w14:textId="0C1E1CD5" w:rsidR="00C93767" w:rsidRPr="00C93767" w:rsidRDefault="00C93767" w:rsidP="001C5FFF">
            <w:pPr>
              <w:spacing w:after="0"/>
              <w:rPr>
                <w:bCs/>
                <w:lang w:val="en-CA"/>
              </w:rPr>
            </w:pPr>
            <w:r>
              <w:rPr>
                <w:bCs/>
                <w:lang w:val="en-CA"/>
              </w:rPr>
              <w:t>Married / Common Law</w:t>
            </w:r>
          </w:p>
        </w:tc>
        <w:tc>
          <w:tcPr>
            <w:tcW w:w="2031" w:type="dxa"/>
            <w:tcBorders>
              <w:top w:val="single" w:sz="8" w:space="0" w:color="6E9400"/>
              <w:bottom w:val="single" w:sz="8" w:space="0" w:color="6E9400"/>
            </w:tcBorders>
          </w:tcPr>
          <w:p w14:paraId="2C6046A8" w14:textId="3FD78E0B" w:rsidR="00C93767" w:rsidRPr="00C90D34" w:rsidRDefault="00C93767" w:rsidP="001C5FFF">
            <w:pPr>
              <w:spacing w:after="0"/>
              <w:jc w:val="center"/>
              <w:rPr>
                <w:lang w:val="en-CA"/>
              </w:rPr>
            </w:pPr>
            <w:r>
              <w:rPr>
                <w:lang w:val="en-CA"/>
              </w:rPr>
              <w:t>36</w:t>
            </w:r>
            <w:r w:rsidRPr="00C90D34">
              <w:rPr>
                <w:lang w:val="en-CA"/>
              </w:rPr>
              <w:t>%</w:t>
            </w:r>
          </w:p>
        </w:tc>
        <w:tc>
          <w:tcPr>
            <w:tcW w:w="2031" w:type="dxa"/>
            <w:tcBorders>
              <w:top w:val="single" w:sz="8" w:space="0" w:color="6E9400"/>
              <w:bottom w:val="single" w:sz="8" w:space="0" w:color="6E9400"/>
            </w:tcBorders>
          </w:tcPr>
          <w:p w14:paraId="048369B6" w14:textId="6A44C167" w:rsidR="00C93767" w:rsidRPr="00C90D34" w:rsidRDefault="00C93767" w:rsidP="001C5FFF">
            <w:pPr>
              <w:spacing w:after="0"/>
              <w:jc w:val="center"/>
              <w:rPr>
                <w:lang w:val="en-CA"/>
              </w:rPr>
            </w:pPr>
            <w:r>
              <w:rPr>
                <w:lang w:val="en-CA"/>
              </w:rPr>
              <w:t>34</w:t>
            </w:r>
            <w:r w:rsidRPr="00C90D34">
              <w:rPr>
                <w:lang w:val="en-CA"/>
              </w:rPr>
              <w:t>%</w:t>
            </w:r>
          </w:p>
        </w:tc>
        <w:tc>
          <w:tcPr>
            <w:tcW w:w="2032" w:type="dxa"/>
            <w:tcBorders>
              <w:top w:val="single" w:sz="8" w:space="0" w:color="6E9400"/>
              <w:bottom w:val="single" w:sz="8" w:space="0" w:color="6E9400"/>
              <w:right w:val="single" w:sz="8" w:space="0" w:color="6E9400"/>
            </w:tcBorders>
          </w:tcPr>
          <w:p w14:paraId="407B2AF5" w14:textId="20A8233D" w:rsidR="00C93767" w:rsidRPr="00C90D34" w:rsidRDefault="00C93767" w:rsidP="001C5FFF">
            <w:pPr>
              <w:spacing w:after="0"/>
              <w:jc w:val="center"/>
              <w:rPr>
                <w:lang w:val="en-CA"/>
              </w:rPr>
            </w:pPr>
            <w:r>
              <w:rPr>
                <w:lang w:val="en-CA"/>
              </w:rPr>
              <w:t>32</w:t>
            </w:r>
            <w:r w:rsidRPr="00C90D34">
              <w:rPr>
                <w:lang w:val="en-CA"/>
              </w:rPr>
              <w:t>%</w:t>
            </w:r>
          </w:p>
        </w:tc>
      </w:tr>
      <w:tr w:rsidR="00C93767" w:rsidRPr="00C90D34" w14:paraId="5A0C5EA6" w14:textId="77777777" w:rsidTr="001C5FFF">
        <w:trPr>
          <w:jc w:val="center"/>
        </w:trPr>
        <w:tc>
          <w:tcPr>
            <w:tcW w:w="3110" w:type="dxa"/>
            <w:tcBorders>
              <w:top w:val="single" w:sz="8" w:space="0" w:color="94C600"/>
              <w:left w:val="single" w:sz="8" w:space="0" w:color="94C600"/>
              <w:bottom w:val="single" w:sz="8" w:space="0" w:color="94C600"/>
            </w:tcBorders>
          </w:tcPr>
          <w:p w14:paraId="3AE00A2D" w14:textId="24661AA7" w:rsidR="00C93767" w:rsidRPr="00C93767" w:rsidRDefault="00C93767" w:rsidP="001C5FFF">
            <w:pPr>
              <w:spacing w:after="0"/>
              <w:rPr>
                <w:bCs/>
                <w:lang w:val="en-CA"/>
              </w:rPr>
            </w:pPr>
            <w:r>
              <w:rPr>
                <w:bCs/>
                <w:lang w:val="en-CA"/>
              </w:rPr>
              <w:t>Divorced / Separated</w:t>
            </w:r>
          </w:p>
        </w:tc>
        <w:tc>
          <w:tcPr>
            <w:tcW w:w="2031" w:type="dxa"/>
            <w:tcBorders>
              <w:top w:val="single" w:sz="8" w:space="0" w:color="94C600"/>
              <w:bottom w:val="single" w:sz="8" w:space="0" w:color="94C600"/>
            </w:tcBorders>
          </w:tcPr>
          <w:p w14:paraId="3FF34607" w14:textId="55F7118D" w:rsidR="00C93767" w:rsidRPr="00C90D34" w:rsidRDefault="00C93767" w:rsidP="001C5FFF">
            <w:pPr>
              <w:spacing w:after="0"/>
              <w:jc w:val="center"/>
              <w:rPr>
                <w:lang w:val="en-CA"/>
              </w:rPr>
            </w:pPr>
            <w:r>
              <w:rPr>
                <w:lang w:val="en-CA"/>
              </w:rPr>
              <w:t>27</w:t>
            </w:r>
            <w:r w:rsidRPr="00C90D34">
              <w:rPr>
                <w:lang w:val="en-CA"/>
              </w:rPr>
              <w:t>%</w:t>
            </w:r>
          </w:p>
        </w:tc>
        <w:tc>
          <w:tcPr>
            <w:tcW w:w="2031" w:type="dxa"/>
            <w:tcBorders>
              <w:top w:val="single" w:sz="8" w:space="0" w:color="94C600"/>
              <w:bottom w:val="single" w:sz="8" w:space="0" w:color="94C600"/>
            </w:tcBorders>
          </w:tcPr>
          <w:p w14:paraId="72D240AC" w14:textId="3217C246" w:rsidR="00C93767" w:rsidRPr="00C90D34" w:rsidRDefault="00C93767" w:rsidP="001C5FFF">
            <w:pPr>
              <w:spacing w:after="0"/>
              <w:jc w:val="center"/>
              <w:rPr>
                <w:lang w:val="en-CA"/>
              </w:rPr>
            </w:pPr>
            <w:r>
              <w:rPr>
                <w:lang w:val="en-CA"/>
              </w:rPr>
              <w:t>24</w:t>
            </w:r>
            <w:r w:rsidRPr="00C90D34">
              <w:rPr>
                <w:lang w:val="en-CA"/>
              </w:rPr>
              <w:t>%</w:t>
            </w:r>
          </w:p>
        </w:tc>
        <w:tc>
          <w:tcPr>
            <w:tcW w:w="2032" w:type="dxa"/>
            <w:tcBorders>
              <w:top w:val="single" w:sz="8" w:space="0" w:color="94C600"/>
              <w:bottom w:val="single" w:sz="8" w:space="0" w:color="94C600"/>
              <w:right w:val="single" w:sz="8" w:space="0" w:color="94C600"/>
            </w:tcBorders>
          </w:tcPr>
          <w:p w14:paraId="0708074A" w14:textId="4229D090" w:rsidR="00C93767" w:rsidRPr="00C90D34" w:rsidRDefault="00C93767" w:rsidP="001C5FFF">
            <w:pPr>
              <w:spacing w:after="0"/>
              <w:jc w:val="center"/>
              <w:rPr>
                <w:lang w:val="en-CA"/>
              </w:rPr>
            </w:pPr>
            <w:r>
              <w:rPr>
                <w:lang w:val="en-CA"/>
              </w:rPr>
              <w:t>23</w:t>
            </w:r>
            <w:r w:rsidRPr="00C90D34">
              <w:rPr>
                <w:lang w:val="en-CA"/>
              </w:rPr>
              <w:t>%</w:t>
            </w:r>
          </w:p>
        </w:tc>
      </w:tr>
      <w:tr w:rsidR="00C93767" w:rsidRPr="00C90D34" w14:paraId="3B86F3A7" w14:textId="77777777" w:rsidTr="001C5FFF">
        <w:trPr>
          <w:jc w:val="center"/>
        </w:trPr>
        <w:tc>
          <w:tcPr>
            <w:tcW w:w="3110" w:type="dxa"/>
            <w:tcBorders>
              <w:top w:val="single" w:sz="8" w:space="0" w:color="6E9400"/>
              <w:left w:val="single" w:sz="8" w:space="0" w:color="6E9400"/>
              <w:bottom w:val="single" w:sz="8" w:space="0" w:color="6E9400"/>
            </w:tcBorders>
          </w:tcPr>
          <w:p w14:paraId="2797EC0F" w14:textId="2758A109" w:rsidR="00C93767" w:rsidRPr="00C93767" w:rsidRDefault="00C93767" w:rsidP="001C5FFF">
            <w:pPr>
              <w:spacing w:after="0"/>
              <w:rPr>
                <w:bCs/>
                <w:lang w:val="en-CA"/>
              </w:rPr>
            </w:pPr>
            <w:r>
              <w:rPr>
                <w:bCs/>
                <w:lang w:val="en-CA"/>
              </w:rPr>
              <w:t>Widowed</w:t>
            </w:r>
          </w:p>
        </w:tc>
        <w:tc>
          <w:tcPr>
            <w:tcW w:w="2031" w:type="dxa"/>
            <w:tcBorders>
              <w:top w:val="single" w:sz="8" w:space="0" w:color="6E9400"/>
              <w:bottom w:val="single" w:sz="8" w:space="0" w:color="6E9400"/>
            </w:tcBorders>
          </w:tcPr>
          <w:p w14:paraId="0A47C88E" w14:textId="6CC518DA" w:rsidR="00C93767" w:rsidRPr="00C90D34" w:rsidRDefault="00C93767" w:rsidP="001C5FFF">
            <w:pPr>
              <w:spacing w:after="0"/>
              <w:jc w:val="center"/>
              <w:rPr>
                <w:lang w:val="en-CA"/>
              </w:rPr>
            </w:pPr>
            <w:r>
              <w:rPr>
                <w:lang w:val="en-CA"/>
              </w:rPr>
              <w:t>3</w:t>
            </w:r>
            <w:r w:rsidRPr="00C90D34">
              <w:rPr>
                <w:lang w:val="en-CA"/>
              </w:rPr>
              <w:t>%</w:t>
            </w:r>
          </w:p>
        </w:tc>
        <w:tc>
          <w:tcPr>
            <w:tcW w:w="2031" w:type="dxa"/>
            <w:tcBorders>
              <w:top w:val="single" w:sz="8" w:space="0" w:color="6E9400"/>
              <w:bottom w:val="single" w:sz="8" w:space="0" w:color="6E9400"/>
            </w:tcBorders>
          </w:tcPr>
          <w:p w14:paraId="7EE59F89" w14:textId="2E08CA84" w:rsidR="00C93767" w:rsidRPr="00C90D34" w:rsidRDefault="00C93767" w:rsidP="001C5FFF">
            <w:pPr>
              <w:spacing w:after="0"/>
              <w:jc w:val="center"/>
              <w:rPr>
                <w:lang w:val="en-CA"/>
              </w:rPr>
            </w:pPr>
            <w:r>
              <w:rPr>
                <w:lang w:val="en-CA"/>
              </w:rPr>
              <w:t>3%</w:t>
            </w:r>
          </w:p>
        </w:tc>
        <w:tc>
          <w:tcPr>
            <w:tcW w:w="2032" w:type="dxa"/>
            <w:tcBorders>
              <w:top w:val="single" w:sz="8" w:space="0" w:color="6E9400"/>
              <w:bottom w:val="single" w:sz="8" w:space="0" w:color="6E9400"/>
              <w:right w:val="single" w:sz="8" w:space="0" w:color="6E9400"/>
            </w:tcBorders>
          </w:tcPr>
          <w:p w14:paraId="4A265490" w14:textId="68E068A7" w:rsidR="00C93767" w:rsidRPr="00C90D34" w:rsidRDefault="00C93767" w:rsidP="001C5FFF">
            <w:pPr>
              <w:spacing w:after="0"/>
              <w:jc w:val="center"/>
              <w:rPr>
                <w:lang w:val="en-CA"/>
              </w:rPr>
            </w:pPr>
            <w:r>
              <w:rPr>
                <w:lang w:val="en-CA"/>
              </w:rPr>
              <w:t>3%</w:t>
            </w:r>
          </w:p>
        </w:tc>
      </w:tr>
    </w:tbl>
    <w:p w14:paraId="4F7D93F1" w14:textId="20A26125" w:rsidR="00C93767" w:rsidRDefault="00C93767" w:rsidP="00C93767">
      <w:pPr>
        <w:rPr>
          <w:lang w:val="en-CA"/>
        </w:rPr>
      </w:pPr>
    </w:p>
    <w:p w14:paraId="34E0FB63" w14:textId="77777777" w:rsidR="00607A59" w:rsidRPr="00607A59" w:rsidRDefault="00607A59" w:rsidP="00607A59">
      <w:r w:rsidRPr="00607A59">
        <w:t>Once again, the rise in insolvencies among Millennials are impacting marital trends among insolvent debtors.  With more young debtors filing insolvency, they are much more likely to be single.  In addition, married (and often divorced) couples tend to be homeowners, who have been able to avoid filing insolvency by refinancing their home mortgage to deal with their family debts.</w:t>
      </w:r>
    </w:p>
    <w:p w14:paraId="1DBC08B0" w14:textId="77208025" w:rsidR="00CB2870" w:rsidRDefault="00CB2870" w:rsidP="00CB2870">
      <w:pPr>
        <w:pStyle w:val="Heading2"/>
        <w:rPr>
          <w:lang w:val="en-CA"/>
        </w:rPr>
      </w:pPr>
      <w:r>
        <w:rPr>
          <w:lang w:val="en-CA"/>
        </w:rPr>
        <w:lastRenderedPageBreak/>
        <w:t>FAMILY SIZE</w:t>
      </w:r>
      <w:r w:rsidR="007C752D">
        <w:rPr>
          <w:lang w:val="en-CA"/>
        </w:rPr>
        <w:t xml:space="preserve"> – Lone-parents Face Higher Insolvency Risk</w:t>
      </w:r>
    </w:p>
    <w:p w14:paraId="0B476F23" w14:textId="77777777" w:rsidR="0000607F" w:rsidRPr="0000607F" w:rsidRDefault="0000607F" w:rsidP="0000607F">
      <w:r w:rsidRPr="0000607F">
        <w:t>Continuing the trend of our report from 2016, lone-parents account for 17% of all insolvent debtors. Lone-parents are at a substantially higher risk of filing insolvency than dual-parent families. Lone-parent households have an average household income of $3,005, 31.7% below that of two-parent households. Lone-parents owe, on average $41,410, compared to $56,713 for two-parent debtors.</w:t>
      </w:r>
    </w:p>
    <w:p w14:paraId="4E7F3D9F" w14:textId="77777777" w:rsidR="0000607F" w:rsidRPr="0000607F" w:rsidRDefault="0000607F" w:rsidP="0000607F">
      <w:r w:rsidRPr="0000607F">
        <w:t>Many lone-parents are balancing both student debt repayment and family expenses on a single income; 26% of lone-parents had student debt in 2018, compared to 19% for two-parent households.</w:t>
      </w:r>
    </w:p>
    <w:p w14:paraId="026BE78A" w14:textId="77777777" w:rsidR="0000607F" w:rsidRPr="0000607F" w:rsidRDefault="0000607F" w:rsidP="0000607F">
      <w:r w:rsidRPr="0000607F">
        <w:t>Lone-parents are also more likely to turn to payday-loan style cash advances to makes ends meet. More than 4 in 10 (44%) lone-parent debtors have at least one payday loan, compared to 34% of two-parent households.</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CB2870" w:rsidRPr="00C90D34" w14:paraId="5BBAE15F" w14:textId="77777777" w:rsidTr="001C5FFF">
        <w:trPr>
          <w:jc w:val="center"/>
        </w:trPr>
        <w:tc>
          <w:tcPr>
            <w:tcW w:w="3110" w:type="dxa"/>
            <w:tcBorders>
              <w:top w:val="single" w:sz="8" w:space="0" w:color="6E9400"/>
              <w:left w:val="single" w:sz="8" w:space="0" w:color="6E9400"/>
              <w:bottom w:val="single" w:sz="8" w:space="0" w:color="6E9400"/>
            </w:tcBorders>
            <w:shd w:val="clear" w:color="auto" w:fill="6E9400"/>
          </w:tcPr>
          <w:p w14:paraId="55ABA4B3" w14:textId="4466EB05" w:rsidR="00CB2870" w:rsidRPr="006037A4" w:rsidRDefault="00CB2870" w:rsidP="001C5FFF">
            <w:pPr>
              <w:spacing w:after="0"/>
              <w:rPr>
                <w:b/>
                <w:bCs/>
                <w:color w:val="FFFFFF"/>
                <w:lang w:val="en-CA"/>
              </w:rPr>
            </w:pPr>
            <w:r>
              <w:rPr>
                <w:b/>
                <w:bCs/>
                <w:color w:val="FFFFFF"/>
                <w:lang w:val="en-CA"/>
              </w:rPr>
              <w:t>Household Size</w:t>
            </w:r>
          </w:p>
        </w:tc>
        <w:tc>
          <w:tcPr>
            <w:tcW w:w="2031" w:type="dxa"/>
            <w:tcBorders>
              <w:top w:val="single" w:sz="8" w:space="0" w:color="6E9400"/>
              <w:bottom w:val="single" w:sz="8" w:space="0" w:color="6E9400"/>
            </w:tcBorders>
            <w:shd w:val="clear" w:color="auto" w:fill="6E9400"/>
            <w:vAlign w:val="bottom"/>
          </w:tcPr>
          <w:p w14:paraId="34DA4750" w14:textId="77777777" w:rsidR="00CB2870" w:rsidRPr="00C90D34" w:rsidRDefault="00CB2870" w:rsidP="001C5FFF">
            <w:pPr>
              <w:spacing w:after="0"/>
              <w:jc w:val="center"/>
              <w:rPr>
                <w:b/>
                <w:bCs/>
                <w:color w:val="FFFFFF"/>
                <w:lang w:val="en-CA"/>
              </w:rPr>
            </w:pPr>
            <w:r>
              <w:rPr>
                <w:b/>
                <w:bCs/>
                <w:color w:val="FFFFFF"/>
                <w:lang w:val="en-CA"/>
              </w:rPr>
              <w:t>2016</w:t>
            </w:r>
          </w:p>
        </w:tc>
        <w:tc>
          <w:tcPr>
            <w:tcW w:w="2031" w:type="dxa"/>
            <w:tcBorders>
              <w:top w:val="single" w:sz="8" w:space="0" w:color="6E9400"/>
              <w:bottom w:val="single" w:sz="8" w:space="0" w:color="6E9400"/>
            </w:tcBorders>
            <w:shd w:val="clear" w:color="auto" w:fill="6E9400"/>
          </w:tcPr>
          <w:p w14:paraId="34EE8B33" w14:textId="77777777" w:rsidR="00CB2870" w:rsidRPr="00C90D34" w:rsidRDefault="00CB2870" w:rsidP="001C5FFF">
            <w:pPr>
              <w:spacing w:after="0"/>
              <w:jc w:val="center"/>
              <w:rPr>
                <w:b/>
                <w:bCs/>
                <w:color w:val="FFFFFF"/>
                <w:lang w:val="en-CA"/>
              </w:rPr>
            </w:pPr>
            <w:r>
              <w:rPr>
                <w:b/>
                <w:bCs/>
                <w:color w:val="FFFFFF"/>
                <w:lang w:val="en-CA"/>
              </w:rPr>
              <w:t>2017</w:t>
            </w:r>
          </w:p>
        </w:tc>
        <w:tc>
          <w:tcPr>
            <w:tcW w:w="2032" w:type="dxa"/>
            <w:tcBorders>
              <w:top w:val="single" w:sz="8" w:space="0" w:color="6E9400"/>
              <w:bottom w:val="single" w:sz="8" w:space="0" w:color="6E9400"/>
              <w:right w:val="single" w:sz="8" w:space="0" w:color="6E9400"/>
            </w:tcBorders>
            <w:shd w:val="clear" w:color="auto" w:fill="6E9400"/>
          </w:tcPr>
          <w:p w14:paraId="3E5EF3C7" w14:textId="77777777" w:rsidR="00CB2870" w:rsidRPr="00C90D34" w:rsidRDefault="00CB2870" w:rsidP="001C5FFF">
            <w:pPr>
              <w:spacing w:after="0"/>
              <w:jc w:val="center"/>
              <w:rPr>
                <w:b/>
                <w:bCs/>
                <w:color w:val="FFFFFF"/>
                <w:lang w:val="en-CA"/>
              </w:rPr>
            </w:pPr>
            <w:r>
              <w:rPr>
                <w:b/>
                <w:bCs/>
                <w:color w:val="FFFFFF"/>
                <w:lang w:val="en-CA"/>
              </w:rPr>
              <w:t>2018</w:t>
            </w:r>
          </w:p>
        </w:tc>
      </w:tr>
      <w:tr w:rsidR="00CB2870" w:rsidRPr="00C90D34" w14:paraId="706C12A7" w14:textId="77777777" w:rsidTr="001C5FFF">
        <w:trPr>
          <w:jc w:val="center"/>
        </w:trPr>
        <w:tc>
          <w:tcPr>
            <w:tcW w:w="3110" w:type="dxa"/>
            <w:tcBorders>
              <w:top w:val="single" w:sz="8" w:space="0" w:color="94C600"/>
              <w:left w:val="single" w:sz="8" w:space="0" w:color="94C600"/>
              <w:bottom w:val="single" w:sz="8" w:space="0" w:color="94C600"/>
            </w:tcBorders>
          </w:tcPr>
          <w:p w14:paraId="2B64EFAD" w14:textId="423E1E62" w:rsidR="00CB2870" w:rsidRPr="00C93767" w:rsidRDefault="00CB2870" w:rsidP="001C5FFF">
            <w:pPr>
              <w:spacing w:after="0"/>
              <w:rPr>
                <w:bCs/>
                <w:lang w:val="en-CA"/>
              </w:rPr>
            </w:pPr>
            <w:r>
              <w:rPr>
                <w:bCs/>
                <w:lang w:val="en-CA"/>
              </w:rPr>
              <w:t>1</w:t>
            </w:r>
          </w:p>
        </w:tc>
        <w:tc>
          <w:tcPr>
            <w:tcW w:w="2031" w:type="dxa"/>
            <w:tcBorders>
              <w:top w:val="single" w:sz="8" w:space="0" w:color="94C600"/>
              <w:bottom w:val="single" w:sz="8" w:space="0" w:color="94C600"/>
            </w:tcBorders>
          </w:tcPr>
          <w:p w14:paraId="5A4B847B" w14:textId="668549B6" w:rsidR="00CB2870" w:rsidRPr="00C90D34" w:rsidRDefault="00CB2870" w:rsidP="001C5FFF">
            <w:pPr>
              <w:spacing w:after="0"/>
              <w:jc w:val="center"/>
              <w:rPr>
                <w:lang w:val="en-CA"/>
              </w:rPr>
            </w:pPr>
            <w:r>
              <w:rPr>
                <w:lang w:val="en-CA"/>
              </w:rPr>
              <w:t>50</w:t>
            </w:r>
            <w:r w:rsidRPr="00C90D34">
              <w:rPr>
                <w:lang w:val="en-CA"/>
              </w:rPr>
              <w:t>%</w:t>
            </w:r>
          </w:p>
        </w:tc>
        <w:tc>
          <w:tcPr>
            <w:tcW w:w="2031" w:type="dxa"/>
            <w:tcBorders>
              <w:top w:val="single" w:sz="8" w:space="0" w:color="94C600"/>
              <w:bottom w:val="single" w:sz="8" w:space="0" w:color="94C600"/>
            </w:tcBorders>
          </w:tcPr>
          <w:p w14:paraId="1E264B36" w14:textId="41843A38" w:rsidR="00CB2870" w:rsidRPr="00C90D34" w:rsidRDefault="00CB2870" w:rsidP="001C5FFF">
            <w:pPr>
              <w:spacing w:after="0"/>
              <w:jc w:val="center"/>
              <w:rPr>
                <w:lang w:val="en-CA"/>
              </w:rPr>
            </w:pPr>
            <w:r>
              <w:rPr>
                <w:lang w:val="en-CA"/>
              </w:rPr>
              <w:t>53</w:t>
            </w:r>
            <w:r w:rsidRPr="00C90D34">
              <w:rPr>
                <w:lang w:val="en-CA"/>
              </w:rPr>
              <w:t>%</w:t>
            </w:r>
          </w:p>
        </w:tc>
        <w:tc>
          <w:tcPr>
            <w:tcW w:w="2032" w:type="dxa"/>
            <w:tcBorders>
              <w:top w:val="single" w:sz="8" w:space="0" w:color="94C600"/>
              <w:bottom w:val="single" w:sz="8" w:space="0" w:color="94C600"/>
              <w:right w:val="single" w:sz="8" w:space="0" w:color="94C600"/>
            </w:tcBorders>
          </w:tcPr>
          <w:p w14:paraId="3E201901" w14:textId="48BF5150" w:rsidR="00CB2870" w:rsidRPr="00C90D34" w:rsidRDefault="00CB2870" w:rsidP="001C5FFF">
            <w:pPr>
              <w:spacing w:after="0"/>
              <w:jc w:val="center"/>
              <w:rPr>
                <w:lang w:val="en-CA"/>
              </w:rPr>
            </w:pPr>
            <w:r>
              <w:rPr>
                <w:lang w:val="en-CA"/>
              </w:rPr>
              <w:t>52</w:t>
            </w:r>
            <w:r w:rsidRPr="00C90D34">
              <w:rPr>
                <w:lang w:val="en-CA"/>
              </w:rPr>
              <w:t>%</w:t>
            </w:r>
          </w:p>
        </w:tc>
      </w:tr>
      <w:tr w:rsidR="00CB2870" w:rsidRPr="00C90D34" w14:paraId="3F074D5E" w14:textId="77777777" w:rsidTr="001C5FFF">
        <w:trPr>
          <w:jc w:val="center"/>
        </w:trPr>
        <w:tc>
          <w:tcPr>
            <w:tcW w:w="3110" w:type="dxa"/>
            <w:tcBorders>
              <w:top w:val="single" w:sz="8" w:space="0" w:color="6E9400"/>
              <w:left w:val="single" w:sz="8" w:space="0" w:color="6E9400"/>
              <w:bottom w:val="single" w:sz="8" w:space="0" w:color="6E9400"/>
            </w:tcBorders>
          </w:tcPr>
          <w:p w14:paraId="7D1481F5" w14:textId="4C06CC39" w:rsidR="00CB2870" w:rsidRPr="00C93767" w:rsidRDefault="00CB2870" w:rsidP="001C5FFF">
            <w:pPr>
              <w:spacing w:after="0"/>
              <w:rPr>
                <w:bCs/>
                <w:lang w:val="en-CA"/>
              </w:rPr>
            </w:pPr>
            <w:r>
              <w:rPr>
                <w:bCs/>
                <w:lang w:val="en-CA"/>
              </w:rPr>
              <w:t>2</w:t>
            </w:r>
          </w:p>
        </w:tc>
        <w:tc>
          <w:tcPr>
            <w:tcW w:w="2031" w:type="dxa"/>
            <w:tcBorders>
              <w:top w:val="single" w:sz="8" w:space="0" w:color="6E9400"/>
              <w:bottom w:val="single" w:sz="8" w:space="0" w:color="6E9400"/>
            </w:tcBorders>
          </w:tcPr>
          <w:p w14:paraId="16CA866C" w14:textId="5E82CAA5" w:rsidR="00CB2870" w:rsidRPr="00C90D34" w:rsidRDefault="00CB2870" w:rsidP="001C5FFF">
            <w:pPr>
              <w:spacing w:after="0"/>
              <w:jc w:val="center"/>
              <w:rPr>
                <w:lang w:val="en-CA"/>
              </w:rPr>
            </w:pPr>
            <w:r>
              <w:rPr>
                <w:lang w:val="en-CA"/>
              </w:rPr>
              <w:t>21</w:t>
            </w:r>
            <w:r w:rsidRPr="00C90D34">
              <w:rPr>
                <w:lang w:val="en-CA"/>
              </w:rPr>
              <w:t>%</w:t>
            </w:r>
          </w:p>
        </w:tc>
        <w:tc>
          <w:tcPr>
            <w:tcW w:w="2031" w:type="dxa"/>
            <w:tcBorders>
              <w:top w:val="single" w:sz="8" w:space="0" w:color="6E9400"/>
              <w:bottom w:val="single" w:sz="8" w:space="0" w:color="6E9400"/>
            </w:tcBorders>
          </w:tcPr>
          <w:p w14:paraId="72939ECB" w14:textId="64120F95" w:rsidR="00CB2870" w:rsidRPr="00C90D34" w:rsidRDefault="00CB2870" w:rsidP="001C5FFF">
            <w:pPr>
              <w:spacing w:after="0"/>
              <w:jc w:val="center"/>
              <w:rPr>
                <w:lang w:val="en-CA"/>
              </w:rPr>
            </w:pPr>
            <w:r>
              <w:rPr>
                <w:lang w:val="en-CA"/>
              </w:rPr>
              <w:t>22</w:t>
            </w:r>
            <w:r w:rsidRPr="00C90D34">
              <w:rPr>
                <w:lang w:val="en-CA"/>
              </w:rPr>
              <w:t>%</w:t>
            </w:r>
          </w:p>
        </w:tc>
        <w:tc>
          <w:tcPr>
            <w:tcW w:w="2032" w:type="dxa"/>
            <w:tcBorders>
              <w:top w:val="single" w:sz="8" w:space="0" w:color="6E9400"/>
              <w:bottom w:val="single" w:sz="8" w:space="0" w:color="6E9400"/>
              <w:right w:val="single" w:sz="8" w:space="0" w:color="6E9400"/>
            </w:tcBorders>
          </w:tcPr>
          <w:p w14:paraId="243FCF7A" w14:textId="7299A275" w:rsidR="00CB2870" w:rsidRPr="00C90D34" w:rsidRDefault="00CB2870" w:rsidP="001C5FFF">
            <w:pPr>
              <w:spacing w:after="0"/>
              <w:jc w:val="center"/>
              <w:rPr>
                <w:lang w:val="en-CA"/>
              </w:rPr>
            </w:pPr>
            <w:r>
              <w:rPr>
                <w:lang w:val="en-CA"/>
              </w:rPr>
              <w:t>21</w:t>
            </w:r>
            <w:r w:rsidRPr="00C90D34">
              <w:rPr>
                <w:lang w:val="en-CA"/>
              </w:rPr>
              <w:t>%</w:t>
            </w:r>
          </w:p>
        </w:tc>
      </w:tr>
      <w:tr w:rsidR="00CB2870" w:rsidRPr="00C90D34" w14:paraId="7B02B9B0" w14:textId="77777777" w:rsidTr="001C5FFF">
        <w:trPr>
          <w:jc w:val="center"/>
        </w:trPr>
        <w:tc>
          <w:tcPr>
            <w:tcW w:w="3110" w:type="dxa"/>
            <w:tcBorders>
              <w:top w:val="single" w:sz="8" w:space="0" w:color="94C600"/>
              <w:left w:val="single" w:sz="8" w:space="0" w:color="94C600"/>
              <w:bottom w:val="single" w:sz="8" w:space="0" w:color="94C600"/>
            </w:tcBorders>
          </w:tcPr>
          <w:p w14:paraId="162FE505" w14:textId="074CDC92" w:rsidR="00CB2870" w:rsidRPr="00C93767" w:rsidRDefault="00CB2870" w:rsidP="001C5FFF">
            <w:pPr>
              <w:spacing w:after="0"/>
              <w:rPr>
                <w:bCs/>
                <w:lang w:val="en-CA"/>
              </w:rPr>
            </w:pPr>
            <w:r>
              <w:rPr>
                <w:bCs/>
                <w:lang w:val="en-CA"/>
              </w:rPr>
              <w:t>3</w:t>
            </w:r>
          </w:p>
        </w:tc>
        <w:tc>
          <w:tcPr>
            <w:tcW w:w="2031" w:type="dxa"/>
            <w:tcBorders>
              <w:top w:val="single" w:sz="8" w:space="0" w:color="94C600"/>
              <w:bottom w:val="single" w:sz="8" w:space="0" w:color="94C600"/>
            </w:tcBorders>
          </w:tcPr>
          <w:p w14:paraId="4671AA70" w14:textId="1C2B4BE8" w:rsidR="00CB2870" w:rsidRPr="00C90D34" w:rsidRDefault="00CB2870" w:rsidP="001C5FFF">
            <w:pPr>
              <w:spacing w:after="0"/>
              <w:jc w:val="center"/>
              <w:rPr>
                <w:lang w:val="en-CA"/>
              </w:rPr>
            </w:pPr>
            <w:r>
              <w:rPr>
                <w:lang w:val="en-CA"/>
              </w:rPr>
              <w:t>13</w:t>
            </w:r>
            <w:r w:rsidRPr="00C90D34">
              <w:rPr>
                <w:lang w:val="en-CA"/>
              </w:rPr>
              <w:t>%</w:t>
            </w:r>
          </w:p>
        </w:tc>
        <w:tc>
          <w:tcPr>
            <w:tcW w:w="2031" w:type="dxa"/>
            <w:tcBorders>
              <w:top w:val="single" w:sz="8" w:space="0" w:color="94C600"/>
              <w:bottom w:val="single" w:sz="8" w:space="0" w:color="94C600"/>
            </w:tcBorders>
          </w:tcPr>
          <w:p w14:paraId="11A45851" w14:textId="7D3E2A7F" w:rsidR="00CB2870" w:rsidRPr="00C90D34" w:rsidRDefault="00CB2870" w:rsidP="001C5FFF">
            <w:pPr>
              <w:spacing w:after="0"/>
              <w:jc w:val="center"/>
              <w:rPr>
                <w:lang w:val="en-CA"/>
              </w:rPr>
            </w:pPr>
            <w:r>
              <w:rPr>
                <w:lang w:val="en-CA"/>
              </w:rPr>
              <w:t>11</w:t>
            </w:r>
            <w:r w:rsidRPr="00C90D34">
              <w:rPr>
                <w:lang w:val="en-CA"/>
              </w:rPr>
              <w:t>%</w:t>
            </w:r>
          </w:p>
        </w:tc>
        <w:tc>
          <w:tcPr>
            <w:tcW w:w="2032" w:type="dxa"/>
            <w:tcBorders>
              <w:top w:val="single" w:sz="8" w:space="0" w:color="94C600"/>
              <w:bottom w:val="single" w:sz="8" w:space="0" w:color="94C600"/>
              <w:right w:val="single" w:sz="8" w:space="0" w:color="94C600"/>
            </w:tcBorders>
          </w:tcPr>
          <w:p w14:paraId="68DCD5CB" w14:textId="3508C5C9" w:rsidR="00CB2870" w:rsidRPr="00C90D34" w:rsidRDefault="00CB2870" w:rsidP="001C5FFF">
            <w:pPr>
              <w:spacing w:after="0"/>
              <w:jc w:val="center"/>
              <w:rPr>
                <w:lang w:val="en-CA"/>
              </w:rPr>
            </w:pPr>
            <w:r>
              <w:rPr>
                <w:lang w:val="en-CA"/>
              </w:rPr>
              <w:t>12</w:t>
            </w:r>
            <w:r w:rsidRPr="00C90D34">
              <w:rPr>
                <w:lang w:val="en-CA"/>
              </w:rPr>
              <w:t>%</w:t>
            </w:r>
          </w:p>
        </w:tc>
      </w:tr>
      <w:tr w:rsidR="00CB2870" w:rsidRPr="00C90D34" w14:paraId="22434B4B" w14:textId="77777777" w:rsidTr="001C5FFF">
        <w:trPr>
          <w:jc w:val="center"/>
        </w:trPr>
        <w:tc>
          <w:tcPr>
            <w:tcW w:w="3110" w:type="dxa"/>
            <w:tcBorders>
              <w:top w:val="single" w:sz="8" w:space="0" w:color="6E9400"/>
              <w:left w:val="single" w:sz="8" w:space="0" w:color="6E9400"/>
              <w:bottom w:val="single" w:sz="8" w:space="0" w:color="6E9400"/>
            </w:tcBorders>
          </w:tcPr>
          <w:p w14:paraId="329A9930" w14:textId="38334531" w:rsidR="00CB2870" w:rsidRPr="00C93767" w:rsidRDefault="00CB2870" w:rsidP="001C5FFF">
            <w:pPr>
              <w:spacing w:after="0"/>
              <w:rPr>
                <w:bCs/>
                <w:lang w:val="en-CA"/>
              </w:rPr>
            </w:pPr>
            <w:r>
              <w:rPr>
                <w:bCs/>
                <w:lang w:val="en-CA"/>
              </w:rPr>
              <w:t>4</w:t>
            </w:r>
          </w:p>
        </w:tc>
        <w:tc>
          <w:tcPr>
            <w:tcW w:w="2031" w:type="dxa"/>
            <w:tcBorders>
              <w:top w:val="single" w:sz="8" w:space="0" w:color="6E9400"/>
              <w:bottom w:val="single" w:sz="8" w:space="0" w:color="6E9400"/>
            </w:tcBorders>
          </w:tcPr>
          <w:p w14:paraId="6FF390D7" w14:textId="504E6113" w:rsidR="00CB2870" w:rsidRPr="00C90D34" w:rsidRDefault="00CB2870" w:rsidP="001C5FFF">
            <w:pPr>
              <w:spacing w:after="0"/>
              <w:jc w:val="center"/>
              <w:rPr>
                <w:lang w:val="en-CA"/>
              </w:rPr>
            </w:pPr>
            <w:r>
              <w:rPr>
                <w:lang w:val="en-CA"/>
              </w:rPr>
              <w:t>10</w:t>
            </w:r>
            <w:r w:rsidRPr="00C90D34">
              <w:rPr>
                <w:lang w:val="en-CA"/>
              </w:rPr>
              <w:t>%</w:t>
            </w:r>
          </w:p>
        </w:tc>
        <w:tc>
          <w:tcPr>
            <w:tcW w:w="2031" w:type="dxa"/>
            <w:tcBorders>
              <w:top w:val="single" w:sz="8" w:space="0" w:color="6E9400"/>
              <w:bottom w:val="single" w:sz="8" w:space="0" w:color="6E9400"/>
            </w:tcBorders>
          </w:tcPr>
          <w:p w14:paraId="6E08701A" w14:textId="468FEB02" w:rsidR="00CB2870" w:rsidRPr="00C90D34" w:rsidRDefault="00CB2870" w:rsidP="001C5FFF">
            <w:pPr>
              <w:spacing w:after="0"/>
              <w:jc w:val="center"/>
              <w:rPr>
                <w:lang w:val="en-CA"/>
              </w:rPr>
            </w:pPr>
            <w:r>
              <w:rPr>
                <w:lang w:val="en-CA"/>
              </w:rPr>
              <w:t>9%</w:t>
            </w:r>
          </w:p>
        </w:tc>
        <w:tc>
          <w:tcPr>
            <w:tcW w:w="2032" w:type="dxa"/>
            <w:tcBorders>
              <w:top w:val="single" w:sz="8" w:space="0" w:color="6E9400"/>
              <w:bottom w:val="single" w:sz="8" w:space="0" w:color="6E9400"/>
              <w:right w:val="single" w:sz="8" w:space="0" w:color="6E9400"/>
            </w:tcBorders>
          </w:tcPr>
          <w:p w14:paraId="54C19A24" w14:textId="65A8C942" w:rsidR="00CB2870" w:rsidRPr="00C90D34" w:rsidRDefault="00CB2870" w:rsidP="001C5FFF">
            <w:pPr>
              <w:spacing w:after="0"/>
              <w:jc w:val="center"/>
              <w:rPr>
                <w:lang w:val="en-CA"/>
              </w:rPr>
            </w:pPr>
            <w:r>
              <w:rPr>
                <w:lang w:val="en-CA"/>
              </w:rPr>
              <w:t>10%</w:t>
            </w:r>
          </w:p>
        </w:tc>
      </w:tr>
      <w:tr w:rsidR="00CB2870" w:rsidRPr="00C90D34" w14:paraId="7CD88C39" w14:textId="77777777" w:rsidTr="001C5FFF">
        <w:trPr>
          <w:jc w:val="center"/>
        </w:trPr>
        <w:tc>
          <w:tcPr>
            <w:tcW w:w="3110" w:type="dxa"/>
            <w:tcBorders>
              <w:top w:val="single" w:sz="8" w:space="0" w:color="6E9400"/>
              <w:left w:val="single" w:sz="8" w:space="0" w:color="6E9400"/>
              <w:bottom w:val="single" w:sz="8" w:space="0" w:color="6E9400"/>
            </w:tcBorders>
          </w:tcPr>
          <w:p w14:paraId="0B736D8B" w14:textId="1A8859CD" w:rsidR="00CB2870" w:rsidRDefault="00CB2870" w:rsidP="001C5FFF">
            <w:pPr>
              <w:spacing w:after="0"/>
              <w:rPr>
                <w:bCs/>
                <w:lang w:val="en-CA"/>
              </w:rPr>
            </w:pPr>
            <w:r>
              <w:rPr>
                <w:bCs/>
                <w:lang w:val="en-CA"/>
              </w:rPr>
              <w:t>5</w:t>
            </w:r>
          </w:p>
        </w:tc>
        <w:tc>
          <w:tcPr>
            <w:tcW w:w="2031" w:type="dxa"/>
            <w:tcBorders>
              <w:top w:val="single" w:sz="8" w:space="0" w:color="6E9400"/>
              <w:bottom w:val="single" w:sz="8" w:space="0" w:color="6E9400"/>
            </w:tcBorders>
          </w:tcPr>
          <w:p w14:paraId="663E2E28" w14:textId="11475CFB" w:rsidR="00CB2870" w:rsidRDefault="00CB2870" w:rsidP="001C5FFF">
            <w:pPr>
              <w:spacing w:after="0"/>
              <w:jc w:val="center"/>
              <w:rPr>
                <w:lang w:val="en-CA"/>
              </w:rPr>
            </w:pPr>
            <w:r>
              <w:rPr>
                <w:lang w:val="en-CA"/>
              </w:rPr>
              <w:t>4%</w:t>
            </w:r>
          </w:p>
        </w:tc>
        <w:tc>
          <w:tcPr>
            <w:tcW w:w="2031" w:type="dxa"/>
            <w:tcBorders>
              <w:top w:val="single" w:sz="8" w:space="0" w:color="6E9400"/>
              <w:bottom w:val="single" w:sz="8" w:space="0" w:color="6E9400"/>
            </w:tcBorders>
          </w:tcPr>
          <w:p w14:paraId="7A7DAB5D" w14:textId="5CEC95CA" w:rsidR="00CB2870" w:rsidRDefault="00CB2870" w:rsidP="001C5FFF">
            <w:pPr>
              <w:spacing w:after="0"/>
              <w:jc w:val="center"/>
              <w:rPr>
                <w:lang w:val="en-CA"/>
              </w:rPr>
            </w:pPr>
            <w:r>
              <w:rPr>
                <w:lang w:val="en-CA"/>
              </w:rPr>
              <w:t>4%</w:t>
            </w:r>
          </w:p>
        </w:tc>
        <w:tc>
          <w:tcPr>
            <w:tcW w:w="2032" w:type="dxa"/>
            <w:tcBorders>
              <w:top w:val="single" w:sz="8" w:space="0" w:color="6E9400"/>
              <w:bottom w:val="single" w:sz="8" w:space="0" w:color="6E9400"/>
              <w:right w:val="single" w:sz="8" w:space="0" w:color="6E9400"/>
            </w:tcBorders>
          </w:tcPr>
          <w:p w14:paraId="42241222" w14:textId="39A683BC" w:rsidR="00CB2870" w:rsidRDefault="00CB2870" w:rsidP="001C5FFF">
            <w:pPr>
              <w:spacing w:after="0"/>
              <w:jc w:val="center"/>
              <w:rPr>
                <w:lang w:val="en-CA"/>
              </w:rPr>
            </w:pPr>
            <w:r>
              <w:rPr>
                <w:lang w:val="en-CA"/>
              </w:rPr>
              <w:t>4%</w:t>
            </w:r>
          </w:p>
        </w:tc>
      </w:tr>
      <w:tr w:rsidR="00CB2870" w:rsidRPr="00C90D34" w14:paraId="0E7EA590" w14:textId="77777777" w:rsidTr="001C5FFF">
        <w:trPr>
          <w:jc w:val="center"/>
        </w:trPr>
        <w:tc>
          <w:tcPr>
            <w:tcW w:w="3110" w:type="dxa"/>
            <w:tcBorders>
              <w:top w:val="single" w:sz="8" w:space="0" w:color="6E9400"/>
              <w:left w:val="single" w:sz="8" w:space="0" w:color="6E9400"/>
              <w:bottom w:val="single" w:sz="8" w:space="0" w:color="6E9400"/>
            </w:tcBorders>
          </w:tcPr>
          <w:p w14:paraId="13396DDE" w14:textId="213F1290" w:rsidR="00CB2870" w:rsidRDefault="00CB2870" w:rsidP="001C5FFF">
            <w:pPr>
              <w:spacing w:after="0"/>
              <w:rPr>
                <w:bCs/>
                <w:lang w:val="en-CA"/>
              </w:rPr>
            </w:pPr>
            <w:r>
              <w:rPr>
                <w:bCs/>
                <w:lang w:val="en-CA"/>
              </w:rPr>
              <w:t>6 or more</w:t>
            </w:r>
          </w:p>
        </w:tc>
        <w:tc>
          <w:tcPr>
            <w:tcW w:w="2031" w:type="dxa"/>
            <w:tcBorders>
              <w:top w:val="single" w:sz="8" w:space="0" w:color="6E9400"/>
              <w:bottom w:val="single" w:sz="8" w:space="0" w:color="6E9400"/>
            </w:tcBorders>
          </w:tcPr>
          <w:p w14:paraId="1D38AA61" w14:textId="57299D9C" w:rsidR="00CB2870" w:rsidRDefault="00CB2870" w:rsidP="001C5FFF">
            <w:pPr>
              <w:spacing w:after="0"/>
              <w:jc w:val="center"/>
              <w:rPr>
                <w:lang w:val="en-CA"/>
              </w:rPr>
            </w:pPr>
            <w:r>
              <w:rPr>
                <w:lang w:val="en-CA"/>
              </w:rPr>
              <w:t>2%</w:t>
            </w:r>
          </w:p>
        </w:tc>
        <w:tc>
          <w:tcPr>
            <w:tcW w:w="2031" w:type="dxa"/>
            <w:tcBorders>
              <w:top w:val="single" w:sz="8" w:space="0" w:color="6E9400"/>
              <w:bottom w:val="single" w:sz="8" w:space="0" w:color="6E9400"/>
            </w:tcBorders>
          </w:tcPr>
          <w:p w14:paraId="21ECFEB7" w14:textId="2CC7E91C" w:rsidR="00CB2870" w:rsidRDefault="00CB2870" w:rsidP="001C5FFF">
            <w:pPr>
              <w:spacing w:after="0"/>
              <w:jc w:val="center"/>
              <w:rPr>
                <w:lang w:val="en-CA"/>
              </w:rPr>
            </w:pPr>
            <w:r>
              <w:rPr>
                <w:lang w:val="en-CA"/>
              </w:rPr>
              <w:t>2%</w:t>
            </w:r>
          </w:p>
        </w:tc>
        <w:tc>
          <w:tcPr>
            <w:tcW w:w="2032" w:type="dxa"/>
            <w:tcBorders>
              <w:top w:val="single" w:sz="8" w:space="0" w:color="6E9400"/>
              <w:bottom w:val="single" w:sz="8" w:space="0" w:color="6E9400"/>
              <w:right w:val="single" w:sz="8" w:space="0" w:color="6E9400"/>
            </w:tcBorders>
          </w:tcPr>
          <w:p w14:paraId="1BF48428" w14:textId="452809EF" w:rsidR="00CB2870" w:rsidRDefault="00CB2870" w:rsidP="001C5FFF">
            <w:pPr>
              <w:spacing w:after="0"/>
              <w:jc w:val="center"/>
              <w:rPr>
                <w:lang w:val="en-CA"/>
              </w:rPr>
            </w:pPr>
            <w:r>
              <w:rPr>
                <w:lang w:val="en-CA"/>
              </w:rPr>
              <w:t>1%</w:t>
            </w:r>
          </w:p>
        </w:tc>
      </w:tr>
      <w:tr w:rsidR="00CB2870" w:rsidRPr="00C90D34" w14:paraId="31CB6B70" w14:textId="77777777" w:rsidTr="001C5FFF">
        <w:trPr>
          <w:jc w:val="center"/>
        </w:trPr>
        <w:tc>
          <w:tcPr>
            <w:tcW w:w="3110" w:type="dxa"/>
            <w:tcBorders>
              <w:top w:val="single" w:sz="8" w:space="0" w:color="6E9400"/>
              <w:left w:val="single" w:sz="8" w:space="0" w:color="6E9400"/>
              <w:bottom w:val="single" w:sz="8" w:space="0" w:color="6E9400"/>
            </w:tcBorders>
          </w:tcPr>
          <w:p w14:paraId="0DE3E5AC" w14:textId="0C587AB3" w:rsidR="00CB2870" w:rsidRDefault="00CB2870" w:rsidP="001C5FFF">
            <w:pPr>
              <w:spacing w:after="0"/>
              <w:rPr>
                <w:bCs/>
                <w:lang w:val="en-CA"/>
              </w:rPr>
            </w:pPr>
            <w:r>
              <w:rPr>
                <w:bCs/>
                <w:lang w:val="en-CA"/>
              </w:rPr>
              <w:t>Average household size</w:t>
            </w:r>
          </w:p>
        </w:tc>
        <w:tc>
          <w:tcPr>
            <w:tcW w:w="2031" w:type="dxa"/>
            <w:tcBorders>
              <w:top w:val="single" w:sz="8" w:space="0" w:color="6E9400"/>
              <w:bottom w:val="single" w:sz="8" w:space="0" w:color="6E9400"/>
            </w:tcBorders>
          </w:tcPr>
          <w:p w14:paraId="7AEEA291" w14:textId="2E7122C5" w:rsidR="00CB2870" w:rsidRDefault="00CB2870" w:rsidP="001C5FFF">
            <w:pPr>
              <w:spacing w:after="0"/>
              <w:jc w:val="center"/>
              <w:rPr>
                <w:lang w:val="en-CA"/>
              </w:rPr>
            </w:pPr>
            <w:r>
              <w:rPr>
                <w:lang w:val="en-CA"/>
              </w:rPr>
              <w:t>2.0</w:t>
            </w:r>
          </w:p>
        </w:tc>
        <w:tc>
          <w:tcPr>
            <w:tcW w:w="2031" w:type="dxa"/>
            <w:tcBorders>
              <w:top w:val="single" w:sz="8" w:space="0" w:color="6E9400"/>
              <w:bottom w:val="single" w:sz="8" w:space="0" w:color="6E9400"/>
            </w:tcBorders>
          </w:tcPr>
          <w:p w14:paraId="2FDF7F86" w14:textId="580E701A" w:rsidR="00CB2870" w:rsidRDefault="00CB2870" w:rsidP="001C5FFF">
            <w:pPr>
              <w:spacing w:after="0"/>
              <w:jc w:val="center"/>
              <w:rPr>
                <w:lang w:val="en-CA"/>
              </w:rPr>
            </w:pPr>
            <w:r>
              <w:rPr>
                <w:lang w:val="en-CA"/>
              </w:rPr>
              <w:t>2.0</w:t>
            </w:r>
          </w:p>
        </w:tc>
        <w:tc>
          <w:tcPr>
            <w:tcW w:w="2032" w:type="dxa"/>
            <w:tcBorders>
              <w:top w:val="single" w:sz="8" w:space="0" w:color="6E9400"/>
              <w:bottom w:val="single" w:sz="8" w:space="0" w:color="6E9400"/>
              <w:right w:val="single" w:sz="8" w:space="0" w:color="6E9400"/>
            </w:tcBorders>
          </w:tcPr>
          <w:p w14:paraId="2C2C126B" w14:textId="4DC6BF04" w:rsidR="00CB2870" w:rsidRDefault="00CB2870" w:rsidP="001C5FFF">
            <w:pPr>
              <w:spacing w:after="0"/>
              <w:jc w:val="center"/>
              <w:rPr>
                <w:lang w:val="en-CA"/>
              </w:rPr>
            </w:pPr>
            <w:r>
              <w:rPr>
                <w:lang w:val="en-CA"/>
              </w:rPr>
              <w:t>2.0</w:t>
            </w:r>
          </w:p>
        </w:tc>
      </w:tr>
      <w:tr w:rsidR="00CB2870" w:rsidRPr="00C90D34" w14:paraId="76E776C2" w14:textId="77777777" w:rsidTr="001C5FFF">
        <w:trPr>
          <w:jc w:val="center"/>
        </w:trPr>
        <w:tc>
          <w:tcPr>
            <w:tcW w:w="3110" w:type="dxa"/>
            <w:tcBorders>
              <w:top w:val="single" w:sz="8" w:space="0" w:color="6E9400"/>
              <w:left w:val="single" w:sz="8" w:space="0" w:color="6E9400"/>
              <w:bottom w:val="single" w:sz="8" w:space="0" w:color="6E9400"/>
            </w:tcBorders>
          </w:tcPr>
          <w:p w14:paraId="2A71F049" w14:textId="0AC42E0A" w:rsidR="00CB2870" w:rsidRDefault="00CB2870" w:rsidP="001C5FFF">
            <w:pPr>
              <w:spacing w:after="0"/>
              <w:rPr>
                <w:bCs/>
                <w:lang w:val="en-CA"/>
              </w:rPr>
            </w:pPr>
            <w:r>
              <w:rPr>
                <w:bCs/>
                <w:lang w:val="en-CA"/>
              </w:rPr>
              <w:t>% lone parents</w:t>
            </w:r>
          </w:p>
        </w:tc>
        <w:tc>
          <w:tcPr>
            <w:tcW w:w="2031" w:type="dxa"/>
            <w:tcBorders>
              <w:top w:val="single" w:sz="8" w:space="0" w:color="6E9400"/>
              <w:bottom w:val="single" w:sz="8" w:space="0" w:color="6E9400"/>
            </w:tcBorders>
          </w:tcPr>
          <w:p w14:paraId="701BF2A4" w14:textId="13F6FE02" w:rsidR="00CB2870" w:rsidRDefault="00CB2870" w:rsidP="001C5FFF">
            <w:pPr>
              <w:spacing w:after="0"/>
              <w:jc w:val="center"/>
              <w:rPr>
                <w:lang w:val="en-CA"/>
              </w:rPr>
            </w:pPr>
            <w:r>
              <w:rPr>
                <w:lang w:val="en-CA"/>
              </w:rPr>
              <w:t>15.8%</w:t>
            </w:r>
          </w:p>
        </w:tc>
        <w:tc>
          <w:tcPr>
            <w:tcW w:w="2031" w:type="dxa"/>
            <w:tcBorders>
              <w:top w:val="single" w:sz="8" w:space="0" w:color="6E9400"/>
              <w:bottom w:val="single" w:sz="8" w:space="0" w:color="6E9400"/>
            </w:tcBorders>
          </w:tcPr>
          <w:p w14:paraId="7B38716A" w14:textId="505F3857" w:rsidR="00CB2870" w:rsidRDefault="00CB2870" w:rsidP="001C5FFF">
            <w:pPr>
              <w:spacing w:after="0"/>
              <w:jc w:val="center"/>
              <w:rPr>
                <w:lang w:val="en-CA"/>
              </w:rPr>
            </w:pPr>
            <w:r>
              <w:rPr>
                <w:lang w:val="en-CA"/>
              </w:rPr>
              <w:t>14.9%</w:t>
            </w:r>
          </w:p>
        </w:tc>
        <w:tc>
          <w:tcPr>
            <w:tcW w:w="2032" w:type="dxa"/>
            <w:tcBorders>
              <w:top w:val="single" w:sz="8" w:space="0" w:color="6E9400"/>
              <w:bottom w:val="single" w:sz="8" w:space="0" w:color="6E9400"/>
              <w:right w:val="single" w:sz="8" w:space="0" w:color="6E9400"/>
            </w:tcBorders>
          </w:tcPr>
          <w:p w14:paraId="3F63E8D1" w14:textId="5ADE14B5" w:rsidR="00CB2870" w:rsidRDefault="00CB2870" w:rsidP="001C5FFF">
            <w:pPr>
              <w:spacing w:after="0"/>
              <w:jc w:val="center"/>
              <w:rPr>
                <w:lang w:val="en-CA"/>
              </w:rPr>
            </w:pPr>
            <w:r>
              <w:rPr>
                <w:lang w:val="en-CA"/>
              </w:rPr>
              <w:t>16.7%</w:t>
            </w:r>
          </w:p>
        </w:tc>
      </w:tr>
    </w:tbl>
    <w:p w14:paraId="17669696" w14:textId="77777777" w:rsidR="00CB2870" w:rsidRDefault="00CB2870" w:rsidP="00C93767">
      <w:pPr>
        <w:rPr>
          <w:lang w:val="en-CA"/>
        </w:rPr>
      </w:pPr>
    </w:p>
    <w:p w14:paraId="315883AD" w14:textId="26B085EC" w:rsidR="00B70E34" w:rsidRDefault="00B70E34" w:rsidP="00267C33">
      <w:pPr>
        <w:pStyle w:val="Heading2"/>
        <w:rPr>
          <w:lang w:val="en-CA"/>
        </w:rPr>
      </w:pPr>
      <w:r>
        <w:rPr>
          <w:lang w:val="en-CA"/>
        </w:rPr>
        <w:t>INCOME PROFILE</w:t>
      </w:r>
      <w:r w:rsidR="008069C7">
        <w:rPr>
          <w:lang w:val="en-CA"/>
        </w:rPr>
        <w:t xml:space="preserve"> – Not Growing Fast Enough</w:t>
      </w:r>
    </w:p>
    <w:p w14:paraId="050665E7" w14:textId="2F856828" w:rsidR="00342859" w:rsidRDefault="00A0569B" w:rsidP="00342859">
      <w:pPr>
        <w:rPr>
          <w:lang w:val="en-CA"/>
        </w:rPr>
      </w:pPr>
      <w:r>
        <w:rPr>
          <w:lang w:val="en-CA"/>
        </w:rPr>
        <w:t>After several years of declines, Joe Debtor’s income is increasing. In 2018, the average debtor’s monthly take-home pay was $2,530, an increase of 4.5% over 2017.</w:t>
      </w:r>
    </w:p>
    <w:p w14:paraId="3D456BB4" w14:textId="71848E17" w:rsidR="00A0569B" w:rsidRDefault="0000607F" w:rsidP="00342859">
      <w:pPr>
        <w:rPr>
          <w:lang w:val="en-CA"/>
        </w:rPr>
      </w:pPr>
      <w:r>
        <w:rPr>
          <w:noProof/>
        </w:rPr>
        <w:lastRenderedPageBreak/>
        <w:drawing>
          <wp:inline distT="0" distB="0" distL="0" distR="0" wp14:anchorId="054C0BA2" wp14:editId="02183E70">
            <wp:extent cx="5755640" cy="3359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5640" cy="3359785"/>
                    </a:xfrm>
                    <a:prstGeom prst="rect">
                      <a:avLst/>
                    </a:prstGeom>
                  </pic:spPr>
                </pic:pic>
              </a:graphicData>
            </a:graphic>
          </wp:inline>
        </w:drawing>
      </w:r>
    </w:p>
    <w:p w14:paraId="5B1F600D" w14:textId="77777777" w:rsidR="007A7E89" w:rsidRDefault="007A7E89" w:rsidP="00342859">
      <w:pPr>
        <w:rPr>
          <w:lang w:val="en-CA"/>
        </w:rPr>
      </w:pPr>
    </w:p>
    <w:p w14:paraId="3751436A" w14:textId="77777777" w:rsidR="0000607F" w:rsidRPr="0000607F" w:rsidRDefault="0000607F" w:rsidP="0000607F">
      <w:r w:rsidRPr="0000607F">
        <w:t>However, this income growth is not enough to cover rising debt repayment. In 2018, Joe Debtor had just $273 in household income available to make monthly debt payments on his unsecured debt, after paying for housing, transportation and living expenses.  This is less than the monthly interest payments on $49,289 in debt. Even at a modest blended rate4 of 27%, including high-cost installment and payday loans, his minimum interest costs are $1,115 per month.</w:t>
      </w:r>
    </w:p>
    <w:p w14:paraId="4394032A" w14:textId="77777777" w:rsidR="0000607F" w:rsidRPr="0000607F" w:rsidRDefault="0000607F" w:rsidP="0000607F">
      <w:r w:rsidRPr="0000607F">
        <w:t>And this budget deficit is deteriorating. Despite a growth in income, the amount of money Joe Debtor has available at the end of the month to put towards debt costs remained at 9.1% of total household income in 2018 compared to 2017, down from 9.9% in 2016, while his average debt increased 0.4% in 2018.  Factor in interest rate increases and more high-cost payday and installment loans, and his average interest costs are increasing at an even higher rate.</w:t>
      </w:r>
    </w:p>
    <w:p w14:paraId="204A2AF1" w14:textId="77777777" w:rsidR="0000607F" w:rsidRPr="0000607F" w:rsidRDefault="0000607F" w:rsidP="0000607F">
      <w:r w:rsidRPr="0000607F">
        <w:t>Increased use of high-interest debt and rising interest rates make it harder to keep up with debt repayment for long. That is why we see a decline in the debt-to-income ratio for the average insolvent debtor. In 2018, Joe Debtor owed $1.62 in unsecured loans for every dollar of income he earned, less than the $1.69 it took to trigger insolvency in 2017 and $1.80 in 2016.</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A0569B" w:rsidRPr="00C90D34" w14:paraId="5DC01111" w14:textId="77777777" w:rsidTr="001C5FFF">
        <w:trPr>
          <w:jc w:val="center"/>
        </w:trPr>
        <w:tc>
          <w:tcPr>
            <w:tcW w:w="3110" w:type="dxa"/>
            <w:tcBorders>
              <w:top w:val="single" w:sz="8" w:space="0" w:color="6E9400"/>
              <w:left w:val="single" w:sz="8" w:space="0" w:color="6E9400"/>
              <w:bottom w:val="single" w:sz="8" w:space="0" w:color="6E9400"/>
            </w:tcBorders>
            <w:shd w:val="clear" w:color="auto" w:fill="6E9400"/>
          </w:tcPr>
          <w:p w14:paraId="76050502" w14:textId="7F96F2E7" w:rsidR="00A0569B" w:rsidRPr="006037A4" w:rsidRDefault="00A0569B" w:rsidP="001C5FFF">
            <w:pPr>
              <w:spacing w:after="0"/>
              <w:rPr>
                <w:b/>
                <w:bCs/>
                <w:color w:val="FFFFFF"/>
                <w:lang w:val="en-CA"/>
              </w:rPr>
            </w:pPr>
            <w:r>
              <w:rPr>
                <w:b/>
                <w:bCs/>
                <w:color w:val="FFFFFF"/>
                <w:lang w:val="en-CA"/>
              </w:rPr>
              <w:t>Income</w:t>
            </w:r>
          </w:p>
        </w:tc>
        <w:tc>
          <w:tcPr>
            <w:tcW w:w="2031" w:type="dxa"/>
            <w:tcBorders>
              <w:top w:val="single" w:sz="8" w:space="0" w:color="6E9400"/>
              <w:bottom w:val="single" w:sz="8" w:space="0" w:color="6E9400"/>
            </w:tcBorders>
            <w:shd w:val="clear" w:color="auto" w:fill="6E9400"/>
            <w:vAlign w:val="bottom"/>
          </w:tcPr>
          <w:p w14:paraId="399E0AAC" w14:textId="77777777" w:rsidR="00A0569B" w:rsidRPr="00C90D34" w:rsidRDefault="00A0569B" w:rsidP="001C5FFF">
            <w:pPr>
              <w:spacing w:after="0"/>
              <w:jc w:val="center"/>
              <w:rPr>
                <w:b/>
                <w:bCs/>
                <w:color w:val="FFFFFF"/>
                <w:lang w:val="en-CA"/>
              </w:rPr>
            </w:pPr>
            <w:r>
              <w:rPr>
                <w:b/>
                <w:bCs/>
                <w:color w:val="FFFFFF"/>
                <w:lang w:val="en-CA"/>
              </w:rPr>
              <w:t>2016</w:t>
            </w:r>
          </w:p>
        </w:tc>
        <w:tc>
          <w:tcPr>
            <w:tcW w:w="2031" w:type="dxa"/>
            <w:tcBorders>
              <w:top w:val="single" w:sz="8" w:space="0" w:color="6E9400"/>
              <w:bottom w:val="single" w:sz="8" w:space="0" w:color="6E9400"/>
            </w:tcBorders>
            <w:shd w:val="clear" w:color="auto" w:fill="6E9400"/>
          </w:tcPr>
          <w:p w14:paraId="7F0C4684" w14:textId="77777777" w:rsidR="00A0569B" w:rsidRPr="00C90D34" w:rsidRDefault="00A0569B" w:rsidP="001C5FFF">
            <w:pPr>
              <w:spacing w:after="0"/>
              <w:jc w:val="center"/>
              <w:rPr>
                <w:b/>
                <w:bCs/>
                <w:color w:val="FFFFFF"/>
                <w:lang w:val="en-CA"/>
              </w:rPr>
            </w:pPr>
            <w:r>
              <w:rPr>
                <w:b/>
                <w:bCs/>
                <w:color w:val="FFFFFF"/>
                <w:lang w:val="en-CA"/>
              </w:rPr>
              <w:t>2017</w:t>
            </w:r>
          </w:p>
        </w:tc>
        <w:tc>
          <w:tcPr>
            <w:tcW w:w="2032" w:type="dxa"/>
            <w:tcBorders>
              <w:top w:val="single" w:sz="8" w:space="0" w:color="6E9400"/>
              <w:bottom w:val="single" w:sz="8" w:space="0" w:color="6E9400"/>
              <w:right w:val="single" w:sz="8" w:space="0" w:color="6E9400"/>
            </w:tcBorders>
            <w:shd w:val="clear" w:color="auto" w:fill="6E9400"/>
          </w:tcPr>
          <w:p w14:paraId="14FA3496" w14:textId="77777777" w:rsidR="00A0569B" w:rsidRPr="00C90D34" w:rsidRDefault="00A0569B" w:rsidP="001C5FFF">
            <w:pPr>
              <w:spacing w:after="0"/>
              <w:jc w:val="center"/>
              <w:rPr>
                <w:b/>
                <w:bCs/>
                <w:color w:val="FFFFFF"/>
                <w:lang w:val="en-CA"/>
              </w:rPr>
            </w:pPr>
            <w:r>
              <w:rPr>
                <w:b/>
                <w:bCs/>
                <w:color w:val="FFFFFF"/>
                <w:lang w:val="en-CA"/>
              </w:rPr>
              <w:t>2018</w:t>
            </w:r>
          </w:p>
        </w:tc>
      </w:tr>
      <w:tr w:rsidR="00A0569B" w:rsidRPr="00C90D34" w14:paraId="7F2394B8" w14:textId="77777777" w:rsidTr="001C5FFF">
        <w:trPr>
          <w:jc w:val="center"/>
        </w:trPr>
        <w:tc>
          <w:tcPr>
            <w:tcW w:w="3110" w:type="dxa"/>
            <w:tcBorders>
              <w:top w:val="single" w:sz="8" w:space="0" w:color="94C600"/>
              <w:left w:val="single" w:sz="8" w:space="0" w:color="94C600"/>
              <w:bottom w:val="single" w:sz="8" w:space="0" w:color="94C600"/>
            </w:tcBorders>
          </w:tcPr>
          <w:p w14:paraId="2C5BAA52" w14:textId="34517589" w:rsidR="00A0569B" w:rsidRPr="00C93767" w:rsidRDefault="00A0569B" w:rsidP="001C5FFF">
            <w:pPr>
              <w:spacing w:after="0"/>
              <w:rPr>
                <w:bCs/>
                <w:lang w:val="en-CA"/>
              </w:rPr>
            </w:pPr>
            <w:r>
              <w:rPr>
                <w:bCs/>
                <w:lang w:val="en-CA"/>
              </w:rPr>
              <w:t>Debtor income</w:t>
            </w:r>
          </w:p>
        </w:tc>
        <w:tc>
          <w:tcPr>
            <w:tcW w:w="2031" w:type="dxa"/>
            <w:tcBorders>
              <w:top w:val="single" w:sz="8" w:space="0" w:color="94C600"/>
              <w:bottom w:val="single" w:sz="8" w:space="0" w:color="94C600"/>
            </w:tcBorders>
          </w:tcPr>
          <w:p w14:paraId="53A1C9E7" w14:textId="2C414703" w:rsidR="00A0569B" w:rsidRPr="00C90D34" w:rsidRDefault="00A0569B" w:rsidP="001C5FFF">
            <w:pPr>
              <w:spacing w:after="0"/>
              <w:jc w:val="center"/>
              <w:rPr>
                <w:lang w:val="en-CA"/>
              </w:rPr>
            </w:pPr>
            <w:r>
              <w:rPr>
                <w:lang w:val="en-CA"/>
              </w:rPr>
              <w:t>$2,350</w:t>
            </w:r>
          </w:p>
        </w:tc>
        <w:tc>
          <w:tcPr>
            <w:tcW w:w="2031" w:type="dxa"/>
            <w:tcBorders>
              <w:top w:val="single" w:sz="8" w:space="0" w:color="94C600"/>
              <w:bottom w:val="single" w:sz="8" w:space="0" w:color="94C600"/>
            </w:tcBorders>
          </w:tcPr>
          <w:p w14:paraId="00CB9304" w14:textId="711E6776" w:rsidR="00A0569B" w:rsidRPr="00C90D34" w:rsidRDefault="00A0569B" w:rsidP="001C5FFF">
            <w:pPr>
              <w:spacing w:after="0"/>
              <w:jc w:val="center"/>
              <w:rPr>
                <w:lang w:val="en-CA"/>
              </w:rPr>
            </w:pPr>
            <w:r>
              <w:rPr>
                <w:lang w:val="en-CA"/>
              </w:rPr>
              <w:t>$2,420</w:t>
            </w:r>
          </w:p>
        </w:tc>
        <w:tc>
          <w:tcPr>
            <w:tcW w:w="2032" w:type="dxa"/>
            <w:tcBorders>
              <w:top w:val="single" w:sz="8" w:space="0" w:color="94C600"/>
              <w:bottom w:val="single" w:sz="8" w:space="0" w:color="94C600"/>
              <w:right w:val="single" w:sz="8" w:space="0" w:color="94C600"/>
            </w:tcBorders>
          </w:tcPr>
          <w:p w14:paraId="1CD3A9BE" w14:textId="6C571B56" w:rsidR="00A0569B" w:rsidRPr="00C90D34" w:rsidRDefault="00A0569B" w:rsidP="001C5FFF">
            <w:pPr>
              <w:spacing w:after="0"/>
              <w:jc w:val="center"/>
              <w:rPr>
                <w:lang w:val="en-CA"/>
              </w:rPr>
            </w:pPr>
            <w:r>
              <w:rPr>
                <w:lang w:val="en-CA"/>
              </w:rPr>
              <w:t>$2,530</w:t>
            </w:r>
          </w:p>
        </w:tc>
      </w:tr>
      <w:tr w:rsidR="00A0569B" w:rsidRPr="00C90D34" w14:paraId="7CB48C6D" w14:textId="77777777" w:rsidTr="001C5FFF">
        <w:trPr>
          <w:jc w:val="center"/>
        </w:trPr>
        <w:tc>
          <w:tcPr>
            <w:tcW w:w="3110" w:type="dxa"/>
            <w:tcBorders>
              <w:top w:val="single" w:sz="8" w:space="0" w:color="6E9400"/>
              <w:left w:val="single" w:sz="8" w:space="0" w:color="6E9400"/>
              <w:bottom w:val="single" w:sz="8" w:space="0" w:color="6E9400"/>
            </w:tcBorders>
          </w:tcPr>
          <w:p w14:paraId="130D531E" w14:textId="76DAB638" w:rsidR="00A0569B" w:rsidRPr="00C93767" w:rsidRDefault="00A0569B" w:rsidP="001C5FFF">
            <w:pPr>
              <w:spacing w:after="0"/>
              <w:rPr>
                <w:bCs/>
                <w:lang w:val="en-CA"/>
              </w:rPr>
            </w:pPr>
            <w:r>
              <w:rPr>
                <w:bCs/>
                <w:lang w:val="en-CA"/>
              </w:rPr>
              <w:t>Household income</w:t>
            </w:r>
          </w:p>
        </w:tc>
        <w:tc>
          <w:tcPr>
            <w:tcW w:w="2031" w:type="dxa"/>
            <w:tcBorders>
              <w:top w:val="single" w:sz="8" w:space="0" w:color="6E9400"/>
              <w:bottom w:val="single" w:sz="8" w:space="0" w:color="6E9400"/>
            </w:tcBorders>
          </w:tcPr>
          <w:p w14:paraId="013A4FF0" w14:textId="622C0DBF" w:rsidR="00A0569B" w:rsidRPr="00C90D34" w:rsidRDefault="00A0569B" w:rsidP="001C5FFF">
            <w:pPr>
              <w:spacing w:after="0"/>
              <w:jc w:val="center"/>
              <w:rPr>
                <w:lang w:val="en-CA"/>
              </w:rPr>
            </w:pPr>
            <w:r>
              <w:rPr>
                <w:lang w:val="en-CA"/>
              </w:rPr>
              <w:t>$2,868</w:t>
            </w:r>
          </w:p>
        </w:tc>
        <w:tc>
          <w:tcPr>
            <w:tcW w:w="2031" w:type="dxa"/>
            <w:tcBorders>
              <w:top w:val="single" w:sz="8" w:space="0" w:color="6E9400"/>
              <w:bottom w:val="single" w:sz="8" w:space="0" w:color="6E9400"/>
            </w:tcBorders>
          </w:tcPr>
          <w:p w14:paraId="351959D8" w14:textId="4BCE884E" w:rsidR="00A0569B" w:rsidRPr="00C90D34" w:rsidRDefault="00A0569B" w:rsidP="001C5FFF">
            <w:pPr>
              <w:spacing w:after="0"/>
              <w:jc w:val="center"/>
              <w:rPr>
                <w:lang w:val="en-CA"/>
              </w:rPr>
            </w:pPr>
            <w:r>
              <w:rPr>
                <w:lang w:val="en-CA"/>
              </w:rPr>
              <w:t>$2,873</w:t>
            </w:r>
          </w:p>
        </w:tc>
        <w:tc>
          <w:tcPr>
            <w:tcW w:w="2032" w:type="dxa"/>
            <w:tcBorders>
              <w:top w:val="single" w:sz="8" w:space="0" w:color="6E9400"/>
              <w:bottom w:val="single" w:sz="8" w:space="0" w:color="6E9400"/>
              <w:right w:val="single" w:sz="8" w:space="0" w:color="6E9400"/>
            </w:tcBorders>
          </w:tcPr>
          <w:p w14:paraId="28987B07" w14:textId="73D47206" w:rsidR="00A0569B" w:rsidRPr="00C90D34" w:rsidRDefault="00A0569B" w:rsidP="001C5FFF">
            <w:pPr>
              <w:spacing w:after="0"/>
              <w:jc w:val="center"/>
              <w:rPr>
                <w:lang w:val="en-CA"/>
              </w:rPr>
            </w:pPr>
            <w:r>
              <w:rPr>
                <w:lang w:val="en-CA"/>
              </w:rPr>
              <w:t>$2,996</w:t>
            </w:r>
          </w:p>
        </w:tc>
      </w:tr>
      <w:tr w:rsidR="00A0569B" w:rsidRPr="00C90D34" w14:paraId="52163575" w14:textId="77777777" w:rsidTr="001C5FFF">
        <w:trPr>
          <w:jc w:val="center"/>
        </w:trPr>
        <w:tc>
          <w:tcPr>
            <w:tcW w:w="3110" w:type="dxa"/>
            <w:tcBorders>
              <w:top w:val="single" w:sz="8" w:space="0" w:color="94C600"/>
              <w:left w:val="single" w:sz="8" w:space="0" w:color="94C600"/>
              <w:bottom w:val="single" w:sz="8" w:space="0" w:color="94C600"/>
            </w:tcBorders>
          </w:tcPr>
          <w:p w14:paraId="357C21BB" w14:textId="725CAAB2" w:rsidR="00A0569B" w:rsidRPr="00C93767" w:rsidRDefault="00A0569B" w:rsidP="001C5FFF">
            <w:pPr>
              <w:spacing w:after="0"/>
              <w:rPr>
                <w:bCs/>
                <w:lang w:val="en-CA"/>
              </w:rPr>
            </w:pPr>
            <w:r>
              <w:rPr>
                <w:bCs/>
                <w:lang w:val="en-CA"/>
              </w:rPr>
              <w:t xml:space="preserve">Unsecured debt-to-income </w:t>
            </w:r>
          </w:p>
        </w:tc>
        <w:tc>
          <w:tcPr>
            <w:tcW w:w="2031" w:type="dxa"/>
            <w:tcBorders>
              <w:top w:val="single" w:sz="8" w:space="0" w:color="94C600"/>
              <w:bottom w:val="single" w:sz="8" w:space="0" w:color="94C600"/>
            </w:tcBorders>
          </w:tcPr>
          <w:p w14:paraId="7626C2FF" w14:textId="2F47083B" w:rsidR="00A0569B" w:rsidRPr="00C90D34" w:rsidRDefault="00A0569B" w:rsidP="001C5FFF">
            <w:pPr>
              <w:spacing w:after="0"/>
              <w:jc w:val="center"/>
              <w:rPr>
                <w:lang w:val="en-CA"/>
              </w:rPr>
            </w:pPr>
            <w:r>
              <w:rPr>
                <w:lang w:val="en-CA"/>
              </w:rPr>
              <w:t>180%</w:t>
            </w:r>
          </w:p>
        </w:tc>
        <w:tc>
          <w:tcPr>
            <w:tcW w:w="2031" w:type="dxa"/>
            <w:tcBorders>
              <w:top w:val="single" w:sz="8" w:space="0" w:color="94C600"/>
              <w:bottom w:val="single" w:sz="8" w:space="0" w:color="94C600"/>
            </w:tcBorders>
          </w:tcPr>
          <w:p w14:paraId="48139617" w14:textId="534029AC" w:rsidR="00A0569B" w:rsidRPr="00C90D34" w:rsidRDefault="00A0569B" w:rsidP="001C5FFF">
            <w:pPr>
              <w:spacing w:after="0"/>
              <w:jc w:val="center"/>
              <w:rPr>
                <w:lang w:val="en-CA"/>
              </w:rPr>
            </w:pPr>
            <w:r>
              <w:rPr>
                <w:lang w:val="en-CA"/>
              </w:rPr>
              <w:t>169%</w:t>
            </w:r>
          </w:p>
        </w:tc>
        <w:tc>
          <w:tcPr>
            <w:tcW w:w="2032" w:type="dxa"/>
            <w:tcBorders>
              <w:top w:val="single" w:sz="8" w:space="0" w:color="94C600"/>
              <w:bottom w:val="single" w:sz="8" w:space="0" w:color="94C600"/>
              <w:right w:val="single" w:sz="8" w:space="0" w:color="94C600"/>
            </w:tcBorders>
          </w:tcPr>
          <w:p w14:paraId="3271C819" w14:textId="056F42E1" w:rsidR="00A0569B" w:rsidRPr="00C90D34" w:rsidRDefault="00A0569B" w:rsidP="001C5FFF">
            <w:pPr>
              <w:spacing w:after="0"/>
              <w:jc w:val="center"/>
              <w:rPr>
                <w:lang w:val="en-CA"/>
              </w:rPr>
            </w:pPr>
            <w:r>
              <w:rPr>
                <w:lang w:val="en-CA"/>
              </w:rPr>
              <w:t>162%</w:t>
            </w:r>
          </w:p>
        </w:tc>
      </w:tr>
      <w:tr w:rsidR="00A0569B" w:rsidRPr="00C90D34" w14:paraId="7AED62F3" w14:textId="77777777" w:rsidTr="00A0569B">
        <w:trPr>
          <w:jc w:val="center"/>
        </w:trPr>
        <w:tc>
          <w:tcPr>
            <w:tcW w:w="3110" w:type="dxa"/>
            <w:tcBorders>
              <w:top w:val="single" w:sz="8" w:space="0" w:color="6E9400"/>
              <w:left w:val="single" w:sz="8" w:space="0" w:color="6E9400"/>
              <w:bottom w:val="single" w:sz="8" w:space="0" w:color="6E9400"/>
            </w:tcBorders>
          </w:tcPr>
          <w:p w14:paraId="390DA332" w14:textId="2364E418" w:rsidR="00A0569B" w:rsidRPr="00C93767" w:rsidRDefault="00A0569B" w:rsidP="001C5FFF">
            <w:pPr>
              <w:spacing w:after="0"/>
              <w:rPr>
                <w:bCs/>
                <w:lang w:val="en-CA"/>
              </w:rPr>
            </w:pPr>
            <w:r>
              <w:rPr>
                <w:bCs/>
                <w:lang w:val="en-CA"/>
              </w:rPr>
              <w:t>Income available to service debts</w:t>
            </w:r>
          </w:p>
        </w:tc>
        <w:tc>
          <w:tcPr>
            <w:tcW w:w="2031" w:type="dxa"/>
            <w:tcBorders>
              <w:top w:val="single" w:sz="8" w:space="0" w:color="6E9400"/>
              <w:bottom w:val="single" w:sz="8" w:space="0" w:color="6E9400"/>
            </w:tcBorders>
            <w:vAlign w:val="bottom"/>
          </w:tcPr>
          <w:p w14:paraId="5B3A78E6" w14:textId="38604726" w:rsidR="00A0569B" w:rsidRPr="00C90D34" w:rsidRDefault="00A0569B" w:rsidP="001C5FFF">
            <w:pPr>
              <w:spacing w:after="0"/>
              <w:jc w:val="center"/>
              <w:rPr>
                <w:lang w:val="en-CA"/>
              </w:rPr>
            </w:pPr>
            <w:r>
              <w:rPr>
                <w:lang w:val="en-CA"/>
              </w:rPr>
              <w:t>$285</w:t>
            </w:r>
          </w:p>
        </w:tc>
        <w:tc>
          <w:tcPr>
            <w:tcW w:w="2031" w:type="dxa"/>
            <w:tcBorders>
              <w:top w:val="single" w:sz="8" w:space="0" w:color="6E9400"/>
              <w:bottom w:val="single" w:sz="8" w:space="0" w:color="6E9400"/>
            </w:tcBorders>
            <w:vAlign w:val="bottom"/>
          </w:tcPr>
          <w:p w14:paraId="6D3CF12F" w14:textId="1ED34227" w:rsidR="00A0569B" w:rsidRPr="00C90D34" w:rsidRDefault="00A0569B" w:rsidP="001C5FFF">
            <w:pPr>
              <w:spacing w:after="0"/>
              <w:jc w:val="center"/>
              <w:rPr>
                <w:lang w:val="en-CA"/>
              </w:rPr>
            </w:pPr>
            <w:r>
              <w:rPr>
                <w:lang w:val="en-CA"/>
              </w:rPr>
              <w:t>$261</w:t>
            </w:r>
          </w:p>
        </w:tc>
        <w:tc>
          <w:tcPr>
            <w:tcW w:w="2032" w:type="dxa"/>
            <w:tcBorders>
              <w:top w:val="single" w:sz="8" w:space="0" w:color="6E9400"/>
              <w:bottom w:val="single" w:sz="8" w:space="0" w:color="6E9400"/>
              <w:right w:val="single" w:sz="8" w:space="0" w:color="6E9400"/>
            </w:tcBorders>
            <w:vAlign w:val="bottom"/>
          </w:tcPr>
          <w:p w14:paraId="55FD8BEA" w14:textId="3FA5A11D" w:rsidR="00A0569B" w:rsidRPr="00C90D34" w:rsidRDefault="00A0569B" w:rsidP="001C5FFF">
            <w:pPr>
              <w:spacing w:after="0"/>
              <w:jc w:val="center"/>
              <w:rPr>
                <w:lang w:val="en-CA"/>
              </w:rPr>
            </w:pPr>
            <w:r>
              <w:rPr>
                <w:lang w:val="en-CA"/>
              </w:rPr>
              <w:t>$273</w:t>
            </w:r>
          </w:p>
        </w:tc>
      </w:tr>
      <w:tr w:rsidR="00A0569B" w:rsidRPr="00C90D34" w14:paraId="095985B5" w14:textId="77777777" w:rsidTr="00A0569B">
        <w:trPr>
          <w:jc w:val="center"/>
        </w:trPr>
        <w:tc>
          <w:tcPr>
            <w:tcW w:w="3110" w:type="dxa"/>
            <w:tcBorders>
              <w:top w:val="single" w:sz="8" w:space="0" w:color="6E9400"/>
              <w:left w:val="single" w:sz="8" w:space="0" w:color="6E9400"/>
              <w:bottom w:val="single" w:sz="8" w:space="0" w:color="6E9400"/>
            </w:tcBorders>
          </w:tcPr>
          <w:p w14:paraId="1E61BDA8" w14:textId="6D1CDD75" w:rsidR="00A0569B" w:rsidRDefault="007A7E89" w:rsidP="001C5FFF">
            <w:pPr>
              <w:spacing w:after="0"/>
              <w:rPr>
                <w:bCs/>
                <w:lang w:val="en-CA"/>
              </w:rPr>
            </w:pPr>
            <w:r>
              <w:rPr>
                <w:bCs/>
                <w:lang w:val="en-CA"/>
              </w:rPr>
              <w:t>Income available as % of household income</w:t>
            </w:r>
          </w:p>
        </w:tc>
        <w:tc>
          <w:tcPr>
            <w:tcW w:w="2031" w:type="dxa"/>
            <w:tcBorders>
              <w:top w:val="single" w:sz="8" w:space="0" w:color="6E9400"/>
              <w:bottom w:val="single" w:sz="8" w:space="0" w:color="6E9400"/>
            </w:tcBorders>
            <w:vAlign w:val="bottom"/>
          </w:tcPr>
          <w:p w14:paraId="26B59353" w14:textId="5575D087" w:rsidR="00A0569B" w:rsidRDefault="007A7E89" w:rsidP="001C5FFF">
            <w:pPr>
              <w:spacing w:after="0"/>
              <w:jc w:val="center"/>
              <w:rPr>
                <w:lang w:val="en-CA"/>
              </w:rPr>
            </w:pPr>
            <w:r>
              <w:rPr>
                <w:lang w:val="en-CA"/>
              </w:rPr>
              <w:t>9.9%</w:t>
            </w:r>
          </w:p>
        </w:tc>
        <w:tc>
          <w:tcPr>
            <w:tcW w:w="2031" w:type="dxa"/>
            <w:tcBorders>
              <w:top w:val="single" w:sz="8" w:space="0" w:color="6E9400"/>
              <w:bottom w:val="single" w:sz="8" w:space="0" w:color="6E9400"/>
            </w:tcBorders>
            <w:vAlign w:val="bottom"/>
          </w:tcPr>
          <w:p w14:paraId="1EE1A0F6" w14:textId="11BE711C" w:rsidR="00A0569B" w:rsidRDefault="007A7E89" w:rsidP="001C5FFF">
            <w:pPr>
              <w:spacing w:after="0"/>
              <w:jc w:val="center"/>
              <w:rPr>
                <w:lang w:val="en-CA"/>
              </w:rPr>
            </w:pPr>
            <w:r>
              <w:rPr>
                <w:lang w:val="en-CA"/>
              </w:rPr>
              <w:t>9.1%</w:t>
            </w:r>
          </w:p>
        </w:tc>
        <w:tc>
          <w:tcPr>
            <w:tcW w:w="2032" w:type="dxa"/>
            <w:tcBorders>
              <w:top w:val="single" w:sz="8" w:space="0" w:color="6E9400"/>
              <w:bottom w:val="single" w:sz="8" w:space="0" w:color="6E9400"/>
              <w:right w:val="single" w:sz="8" w:space="0" w:color="6E9400"/>
            </w:tcBorders>
            <w:vAlign w:val="bottom"/>
          </w:tcPr>
          <w:p w14:paraId="50E8AD9F" w14:textId="08491000" w:rsidR="00A0569B" w:rsidRDefault="00A0569B" w:rsidP="001C5FFF">
            <w:pPr>
              <w:spacing w:after="0"/>
              <w:jc w:val="center"/>
              <w:rPr>
                <w:lang w:val="en-CA"/>
              </w:rPr>
            </w:pPr>
            <w:r>
              <w:rPr>
                <w:lang w:val="en-CA"/>
              </w:rPr>
              <w:t>9.1%</w:t>
            </w:r>
          </w:p>
        </w:tc>
      </w:tr>
      <w:tr w:rsidR="00A0569B" w:rsidRPr="00C90D34" w14:paraId="35203188" w14:textId="77777777" w:rsidTr="001C5FFF">
        <w:trPr>
          <w:jc w:val="center"/>
        </w:trPr>
        <w:tc>
          <w:tcPr>
            <w:tcW w:w="3110" w:type="dxa"/>
            <w:tcBorders>
              <w:top w:val="single" w:sz="8" w:space="0" w:color="6E9400"/>
              <w:left w:val="single" w:sz="8" w:space="0" w:color="6E9400"/>
              <w:bottom w:val="single" w:sz="8" w:space="0" w:color="6E9400"/>
            </w:tcBorders>
          </w:tcPr>
          <w:p w14:paraId="69693348" w14:textId="7EB7F7B5" w:rsidR="00A0569B" w:rsidRDefault="00A0569B" w:rsidP="001C5FFF">
            <w:pPr>
              <w:spacing w:after="0"/>
              <w:rPr>
                <w:bCs/>
                <w:lang w:val="en-CA"/>
              </w:rPr>
            </w:pPr>
            <w:r>
              <w:rPr>
                <w:bCs/>
                <w:lang w:val="en-CA"/>
              </w:rPr>
              <w:lastRenderedPageBreak/>
              <w:t>% employed</w:t>
            </w:r>
          </w:p>
        </w:tc>
        <w:tc>
          <w:tcPr>
            <w:tcW w:w="2031" w:type="dxa"/>
            <w:tcBorders>
              <w:top w:val="single" w:sz="8" w:space="0" w:color="6E9400"/>
              <w:bottom w:val="single" w:sz="8" w:space="0" w:color="6E9400"/>
            </w:tcBorders>
          </w:tcPr>
          <w:p w14:paraId="03E13F4E" w14:textId="57249BE3" w:rsidR="00A0569B" w:rsidRDefault="00A0569B" w:rsidP="001C5FFF">
            <w:pPr>
              <w:spacing w:after="0"/>
              <w:jc w:val="center"/>
              <w:rPr>
                <w:lang w:val="en-CA"/>
              </w:rPr>
            </w:pPr>
            <w:r>
              <w:rPr>
                <w:lang w:val="en-CA"/>
              </w:rPr>
              <w:t>78%</w:t>
            </w:r>
          </w:p>
        </w:tc>
        <w:tc>
          <w:tcPr>
            <w:tcW w:w="2031" w:type="dxa"/>
            <w:tcBorders>
              <w:top w:val="single" w:sz="8" w:space="0" w:color="6E9400"/>
              <w:bottom w:val="single" w:sz="8" w:space="0" w:color="6E9400"/>
            </w:tcBorders>
          </w:tcPr>
          <w:p w14:paraId="73464742" w14:textId="322D267E" w:rsidR="00A0569B" w:rsidRDefault="00A0569B" w:rsidP="001C5FFF">
            <w:pPr>
              <w:spacing w:after="0"/>
              <w:jc w:val="center"/>
              <w:rPr>
                <w:lang w:val="en-CA"/>
              </w:rPr>
            </w:pPr>
            <w:r>
              <w:rPr>
                <w:lang w:val="en-CA"/>
              </w:rPr>
              <w:t>79%</w:t>
            </w:r>
          </w:p>
        </w:tc>
        <w:tc>
          <w:tcPr>
            <w:tcW w:w="2032" w:type="dxa"/>
            <w:tcBorders>
              <w:top w:val="single" w:sz="8" w:space="0" w:color="6E9400"/>
              <w:bottom w:val="single" w:sz="8" w:space="0" w:color="6E9400"/>
              <w:right w:val="single" w:sz="8" w:space="0" w:color="6E9400"/>
            </w:tcBorders>
          </w:tcPr>
          <w:p w14:paraId="6A28AA75" w14:textId="4DCE5FD5" w:rsidR="00A0569B" w:rsidRDefault="00A0569B" w:rsidP="001C5FFF">
            <w:pPr>
              <w:spacing w:after="0"/>
              <w:jc w:val="center"/>
              <w:rPr>
                <w:lang w:val="en-CA"/>
              </w:rPr>
            </w:pPr>
            <w:r>
              <w:rPr>
                <w:lang w:val="en-CA"/>
              </w:rPr>
              <w:t>81%</w:t>
            </w:r>
          </w:p>
        </w:tc>
      </w:tr>
    </w:tbl>
    <w:p w14:paraId="05A99CB9" w14:textId="37EB31A8" w:rsidR="00342859" w:rsidRDefault="00342859" w:rsidP="00342859">
      <w:pPr>
        <w:rPr>
          <w:lang w:val="en-CA"/>
        </w:rPr>
      </w:pPr>
    </w:p>
    <w:p w14:paraId="54DCC69B" w14:textId="7FAA1883" w:rsidR="0000607F" w:rsidRDefault="0000607F" w:rsidP="0000607F">
      <w:r w:rsidRPr="0000607F">
        <w:t xml:space="preserve">Joe Debtor is living </w:t>
      </w:r>
      <w:proofErr w:type="spellStart"/>
      <w:r w:rsidRPr="0000607F">
        <w:t>paycheque</w:t>
      </w:r>
      <w:proofErr w:type="spellEnd"/>
      <w:r w:rsidRPr="0000607F">
        <w:t xml:space="preserve"> to </w:t>
      </w:r>
      <w:proofErr w:type="spellStart"/>
      <w:r w:rsidRPr="0000607F">
        <w:t>paycheque</w:t>
      </w:r>
      <w:proofErr w:type="spellEnd"/>
      <w:r w:rsidRPr="0000607F">
        <w:t>, which is why he uses debt to pay for everyday living costs.  He spends 40% of his household income on housing, substantially more than the maximum 35% recommended by financial experts.  Transportation costs take up another 19% of his income, close to the recommended maximum of 20%.  His personal and living costs consume 31% of his income, significantly more than the 20% recommended maximum.  With just 9.1% of his income to cover debts (an amount which is insufficient to cover even the monthly interest costs) he has zero left over for savings or creating an emergency fund.  This creates a cycle of debt reliance that leads to the use of payday loans, multiple credit cards and high interest term loans.</w:t>
      </w:r>
    </w:p>
    <w:p w14:paraId="3B7B5931" w14:textId="3F1D03A2" w:rsidR="0000607F" w:rsidRPr="0000607F" w:rsidRDefault="0000607F" w:rsidP="0000607F">
      <w:r>
        <w:rPr>
          <w:noProof/>
        </w:rPr>
        <w:drawing>
          <wp:inline distT="0" distB="0" distL="0" distR="0" wp14:anchorId="572136CA" wp14:editId="614D46AD">
            <wp:extent cx="5755640" cy="20662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5640" cy="2066290"/>
                    </a:xfrm>
                    <a:prstGeom prst="rect">
                      <a:avLst/>
                    </a:prstGeom>
                  </pic:spPr>
                </pic:pic>
              </a:graphicData>
            </a:graphic>
          </wp:inline>
        </w:drawing>
      </w:r>
    </w:p>
    <w:p w14:paraId="7F1B8C0B" w14:textId="5ED876F5" w:rsidR="00B70E34" w:rsidRDefault="00267C33" w:rsidP="00267C33">
      <w:pPr>
        <w:pStyle w:val="Heading2"/>
        <w:rPr>
          <w:lang w:val="en-CA"/>
        </w:rPr>
      </w:pPr>
      <w:r>
        <w:rPr>
          <w:lang w:val="en-CA"/>
        </w:rPr>
        <w:t>CREDIT PROFILE</w:t>
      </w:r>
    </w:p>
    <w:p w14:paraId="7375065A" w14:textId="4331B464" w:rsidR="003E06B6" w:rsidRDefault="0000607F" w:rsidP="0000607F">
      <w:r w:rsidRPr="0000607F">
        <w:t>The average insolvent debtor in 2018 owed $49,289 in unsecured debt.  Average total debt rose marginally, up 0.4%, however, this was the first increased in total unsecured debt since 2012.</w:t>
      </w:r>
    </w:p>
    <w:p w14:paraId="64E22FD3" w14:textId="7C0DB046" w:rsidR="0000607F" w:rsidRPr="0000607F" w:rsidRDefault="0000607F" w:rsidP="0000607F">
      <w:r>
        <w:rPr>
          <w:noProof/>
        </w:rPr>
        <w:lastRenderedPageBreak/>
        <w:drawing>
          <wp:inline distT="0" distB="0" distL="0" distR="0" wp14:anchorId="34307114" wp14:editId="10EC2715">
            <wp:extent cx="5755640" cy="32975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5640" cy="3297555"/>
                    </a:xfrm>
                    <a:prstGeom prst="rect">
                      <a:avLst/>
                    </a:prstGeom>
                  </pic:spPr>
                </pic:pic>
              </a:graphicData>
            </a:graphic>
          </wp:inline>
        </w:drawing>
      </w:r>
    </w:p>
    <w:p w14:paraId="2BFEB342" w14:textId="77777777" w:rsidR="0000607F" w:rsidRPr="0000607F" w:rsidRDefault="0000607F" w:rsidP="0000607F">
      <w:r w:rsidRPr="0000607F">
        <w:t>Median debt levels increased even more.  Joe Debtor’s median debt was $33,538 in 2018, an increase of 2.8% from $32,620 in 2017.</w:t>
      </w:r>
    </w:p>
    <w:p w14:paraId="652FBDEC" w14:textId="77777777" w:rsidR="0000607F" w:rsidRPr="0000607F" w:rsidRDefault="0000607F" w:rsidP="0000607F">
      <w:r w:rsidRPr="0000607F">
        <w:t>For information on debt levels for the average insolvent debtor by region see our report on </w:t>
      </w:r>
      <w:hyperlink r:id="rId22" w:history="1">
        <w:r w:rsidRPr="0000607F">
          <w:rPr>
            <w:rStyle w:val="Hyperlink"/>
          </w:rPr>
          <w:t>What Insolvency Looks Like By City in Ontario</w:t>
        </w:r>
      </w:hyperlink>
      <w:r w:rsidRPr="0000607F">
        <w:t>.</w:t>
      </w:r>
    </w:p>
    <w:p w14:paraId="7395E37E" w14:textId="77777777" w:rsidR="0000607F" w:rsidRPr="0000607F" w:rsidRDefault="0000607F" w:rsidP="0000607F">
      <w:r w:rsidRPr="0000607F">
        <w:t>In addition to a rise in debt levels, Joe Debtor’s mix of debt has changed. Much more of his debt consists of high-cost debt including payday loans and quick cash installment debt.  Below is a summary of debt levels by debt type.</w:t>
      </w:r>
    </w:p>
    <w:p w14:paraId="10EFB050" w14:textId="4B0B224B" w:rsidR="009B496B" w:rsidRDefault="009B496B" w:rsidP="009B496B">
      <w:pPr>
        <w:pStyle w:val="Heading3"/>
        <w:rPr>
          <w:lang w:val="en-CA"/>
        </w:rPr>
      </w:pPr>
      <w:r>
        <w:rPr>
          <w:lang w:val="en-CA"/>
        </w:rPr>
        <w:t>Personal Loans</w:t>
      </w:r>
    </w:p>
    <w:p w14:paraId="09D9C276" w14:textId="77777777" w:rsidR="0000607F" w:rsidRPr="0000607F" w:rsidRDefault="0000607F" w:rsidP="0000607F">
      <w:r w:rsidRPr="0000607F">
        <w:t>Joe Debtor owes $16,944, or 34% of his unsecured debt, in personal loans including unsecured term loans, financing company loans, unsecured lines of credit and payday loans.</w:t>
      </w:r>
    </w:p>
    <w:p w14:paraId="07547334" w14:textId="7E39C8D0" w:rsidR="009B496B" w:rsidRDefault="009B496B" w:rsidP="009B496B">
      <w:pPr>
        <w:pStyle w:val="Heading3"/>
        <w:rPr>
          <w:lang w:val="en-CA"/>
        </w:rPr>
      </w:pPr>
      <w:r>
        <w:rPr>
          <w:lang w:val="en-CA"/>
        </w:rPr>
        <w:t>Payday-Style Loans</w:t>
      </w:r>
    </w:p>
    <w:p w14:paraId="40358DE1" w14:textId="77777777" w:rsidR="0000607F" w:rsidRPr="0000607F" w:rsidRDefault="0000607F" w:rsidP="0000607F">
      <w:r w:rsidRPr="0000607F">
        <w:t>Changes in Ontario law in 2017 allowing payday lenders to offer longer repayment terms and low-credit term loans, as well as low credit lines of credit, have increased the use of these types of loans by the average insolvent debtor.</w:t>
      </w:r>
    </w:p>
    <w:p w14:paraId="6190C435" w14:textId="77777777" w:rsidR="0000607F" w:rsidRPr="0000607F" w:rsidRDefault="0000607F" w:rsidP="0000607F">
      <w:r w:rsidRPr="0000607F">
        <w:t>Of all insolvent debtors, 37% carry at least one payday-style loan, up from 32% in 2017.  For those who do, the average payday loan debt they owe is $5,174 on 3.9 outstanding loans. The average payday loan debtor files insolvency on only $35,828 in total unsecured debt, significantly less than the average Joe Debtor primarily due to the onerous rates charged on this type of debt.</w:t>
      </w:r>
    </w:p>
    <w:p w14:paraId="4D1EB5C9" w14:textId="65FAE922" w:rsidR="009B496B" w:rsidRDefault="009B496B" w:rsidP="009B496B">
      <w:pPr>
        <w:pStyle w:val="Heading3"/>
        <w:rPr>
          <w:lang w:val="en-CA"/>
        </w:rPr>
      </w:pPr>
      <w:r>
        <w:rPr>
          <w:lang w:val="en-CA"/>
        </w:rPr>
        <w:t>Credit Card Debt</w:t>
      </w:r>
    </w:p>
    <w:p w14:paraId="61245004" w14:textId="77777777" w:rsidR="0000607F" w:rsidRPr="0000607F" w:rsidRDefault="0000607F" w:rsidP="0000607F">
      <w:r w:rsidRPr="0000607F">
        <w:t>Nine in ten (90%) insolvent debtors have credit card debt. Of those who do, they owe a total of $17,746 in credit card debt on an average of 3 cards.</w:t>
      </w:r>
    </w:p>
    <w:p w14:paraId="491E96C6" w14:textId="77777777" w:rsidR="0000607F" w:rsidRPr="0000607F" w:rsidRDefault="0000607F" w:rsidP="0000607F">
      <w:r w:rsidRPr="0000607F">
        <w:lastRenderedPageBreak/>
        <w:t>Credit card debt increases with age as debtors apply for additional cards and increase their credit limits. Seniors aged 60+, unsurprisingly, have the highest average total credit card debt at $25,784 representing 41% of their overall debts. After a lifetime of accumulating debt, seniors have the highest unsecured debt-to-income ratio of all age groups, at 226%.</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110"/>
        <w:gridCol w:w="2031"/>
        <w:gridCol w:w="2031"/>
        <w:gridCol w:w="2032"/>
      </w:tblGrid>
      <w:tr w:rsidR="001C5FFF" w:rsidRPr="00C90D34" w14:paraId="46A41DC9" w14:textId="77777777" w:rsidTr="001C5FFF">
        <w:trPr>
          <w:jc w:val="center"/>
        </w:trPr>
        <w:tc>
          <w:tcPr>
            <w:tcW w:w="3110" w:type="dxa"/>
            <w:tcBorders>
              <w:top w:val="single" w:sz="8" w:space="0" w:color="6E9400"/>
              <w:left w:val="single" w:sz="8" w:space="0" w:color="6E9400"/>
              <w:bottom w:val="single" w:sz="8" w:space="0" w:color="6E9400"/>
            </w:tcBorders>
            <w:shd w:val="clear" w:color="auto" w:fill="6E9400"/>
          </w:tcPr>
          <w:p w14:paraId="203B4ECA" w14:textId="04C96B5B" w:rsidR="001C5FFF" w:rsidRPr="006037A4" w:rsidRDefault="001C5FFF" w:rsidP="001C5FFF">
            <w:pPr>
              <w:spacing w:after="0"/>
              <w:rPr>
                <w:b/>
                <w:bCs/>
                <w:color w:val="FFFFFF"/>
                <w:lang w:val="en-CA"/>
              </w:rPr>
            </w:pPr>
            <w:r>
              <w:rPr>
                <w:b/>
                <w:bCs/>
                <w:color w:val="FFFFFF"/>
                <w:lang w:val="en-CA"/>
              </w:rPr>
              <w:t xml:space="preserve">Credit </w:t>
            </w:r>
            <w:proofErr w:type="spellStart"/>
            <w:r>
              <w:rPr>
                <w:b/>
                <w:bCs/>
                <w:color w:val="FFFFFF"/>
                <w:lang w:val="en-CA"/>
              </w:rPr>
              <w:t>Cards</w:t>
            </w:r>
            <w:r w:rsidR="00D168BA" w:rsidRPr="00D168BA">
              <w:rPr>
                <w:b/>
                <w:bCs/>
                <w:color w:val="FFFFFF"/>
                <w:vertAlign w:val="superscript"/>
                <w:lang w:val="en-CA"/>
              </w:rPr>
              <w:t>a</w:t>
            </w:r>
            <w:proofErr w:type="spellEnd"/>
          </w:p>
        </w:tc>
        <w:tc>
          <w:tcPr>
            <w:tcW w:w="2031" w:type="dxa"/>
            <w:tcBorders>
              <w:top w:val="single" w:sz="8" w:space="0" w:color="6E9400"/>
              <w:bottom w:val="single" w:sz="8" w:space="0" w:color="6E9400"/>
            </w:tcBorders>
            <w:shd w:val="clear" w:color="auto" w:fill="6E9400"/>
            <w:vAlign w:val="bottom"/>
          </w:tcPr>
          <w:p w14:paraId="1E4A4BDD" w14:textId="7E5C7EA5" w:rsidR="001C5FFF" w:rsidRPr="00C90D34" w:rsidRDefault="001C5FFF" w:rsidP="001C5FFF">
            <w:pPr>
              <w:spacing w:after="0"/>
              <w:jc w:val="center"/>
              <w:rPr>
                <w:b/>
                <w:bCs/>
                <w:color w:val="FFFFFF"/>
                <w:lang w:val="en-CA"/>
              </w:rPr>
            </w:pPr>
            <w:r>
              <w:rPr>
                <w:b/>
                <w:bCs/>
                <w:color w:val="FFFFFF"/>
                <w:lang w:val="en-CA"/>
              </w:rPr>
              <w:t>Total Debt</w:t>
            </w:r>
          </w:p>
        </w:tc>
        <w:tc>
          <w:tcPr>
            <w:tcW w:w="2031" w:type="dxa"/>
            <w:tcBorders>
              <w:top w:val="single" w:sz="8" w:space="0" w:color="6E9400"/>
              <w:bottom w:val="single" w:sz="8" w:space="0" w:color="6E9400"/>
            </w:tcBorders>
            <w:shd w:val="clear" w:color="auto" w:fill="6E9400"/>
          </w:tcPr>
          <w:p w14:paraId="234D24C5" w14:textId="217FAB9A" w:rsidR="001C5FFF" w:rsidRPr="00C90D34" w:rsidRDefault="001C5FFF" w:rsidP="001C5FFF">
            <w:pPr>
              <w:spacing w:after="0"/>
              <w:jc w:val="center"/>
              <w:rPr>
                <w:b/>
                <w:bCs/>
                <w:color w:val="FFFFFF"/>
                <w:lang w:val="en-CA"/>
              </w:rPr>
            </w:pPr>
            <w:r>
              <w:rPr>
                <w:b/>
                <w:bCs/>
                <w:color w:val="FFFFFF"/>
                <w:lang w:val="en-CA"/>
              </w:rPr>
              <w:t># Cards</w:t>
            </w:r>
          </w:p>
        </w:tc>
        <w:tc>
          <w:tcPr>
            <w:tcW w:w="2032" w:type="dxa"/>
            <w:tcBorders>
              <w:top w:val="single" w:sz="8" w:space="0" w:color="6E9400"/>
              <w:bottom w:val="single" w:sz="8" w:space="0" w:color="6E9400"/>
              <w:right w:val="single" w:sz="8" w:space="0" w:color="6E9400"/>
            </w:tcBorders>
            <w:shd w:val="clear" w:color="auto" w:fill="6E9400"/>
          </w:tcPr>
          <w:p w14:paraId="618857FB" w14:textId="5A2E4CEE" w:rsidR="001C5FFF" w:rsidRPr="00C90D34" w:rsidRDefault="001C5FFF" w:rsidP="001C5FFF">
            <w:pPr>
              <w:spacing w:after="0"/>
              <w:jc w:val="center"/>
              <w:rPr>
                <w:b/>
                <w:bCs/>
                <w:color w:val="FFFFFF"/>
                <w:lang w:val="en-CA"/>
              </w:rPr>
            </w:pPr>
            <w:r>
              <w:rPr>
                <w:b/>
                <w:bCs/>
                <w:color w:val="FFFFFF"/>
                <w:lang w:val="en-CA"/>
              </w:rPr>
              <w:t>Average Balance</w:t>
            </w:r>
          </w:p>
        </w:tc>
      </w:tr>
      <w:tr w:rsidR="001C5FFF" w:rsidRPr="00C90D34" w14:paraId="6D4814DE" w14:textId="77777777" w:rsidTr="001C5FFF">
        <w:trPr>
          <w:jc w:val="center"/>
        </w:trPr>
        <w:tc>
          <w:tcPr>
            <w:tcW w:w="3110" w:type="dxa"/>
            <w:tcBorders>
              <w:top w:val="single" w:sz="8" w:space="0" w:color="94C600"/>
              <w:left w:val="single" w:sz="8" w:space="0" w:color="94C600"/>
              <w:bottom w:val="single" w:sz="8" w:space="0" w:color="94C600"/>
            </w:tcBorders>
          </w:tcPr>
          <w:p w14:paraId="21178D8D" w14:textId="3003799D" w:rsidR="001C5FFF" w:rsidRPr="00C93767" w:rsidRDefault="001C5FFF" w:rsidP="001C5FFF">
            <w:pPr>
              <w:spacing w:after="0"/>
              <w:rPr>
                <w:bCs/>
                <w:lang w:val="en-CA"/>
              </w:rPr>
            </w:pPr>
            <w:r>
              <w:rPr>
                <w:bCs/>
                <w:lang w:val="en-CA"/>
              </w:rPr>
              <w:t>18-29</w:t>
            </w:r>
          </w:p>
        </w:tc>
        <w:tc>
          <w:tcPr>
            <w:tcW w:w="2031" w:type="dxa"/>
            <w:tcBorders>
              <w:top w:val="single" w:sz="8" w:space="0" w:color="94C600"/>
              <w:bottom w:val="single" w:sz="8" w:space="0" w:color="94C600"/>
            </w:tcBorders>
          </w:tcPr>
          <w:p w14:paraId="1F9E126C" w14:textId="31570CAE" w:rsidR="001C5FFF" w:rsidRPr="00C90D34" w:rsidRDefault="001C5FFF" w:rsidP="001C5FFF">
            <w:pPr>
              <w:spacing w:after="0"/>
              <w:jc w:val="center"/>
              <w:rPr>
                <w:lang w:val="en-CA"/>
              </w:rPr>
            </w:pPr>
            <w:r>
              <w:rPr>
                <w:lang w:val="en-CA"/>
              </w:rPr>
              <w:t>$</w:t>
            </w:r>
            <w:r w:rsidR="00D168BA">
              <w:rPr>
                <w:lang w:val="en-CA"/>
              </w:rPr>
              <w:t>8,859</w:t>
            </w:r>
          </w:p>
        </w:tc>
        <w:tc>
          <w:tcPr>
            <w:tcW w:w="2031" w:type="dxa"/>
            <w:tcBorders>
              <w:top w:val="single" w:sz="8" w:space="0" w:color="94C600"/>
              <w:bottom w:val="single" w:sz="8" w:space="0" w:color="94C600"/>
            </w:tcBorders>
          </w:tcPr>
          <w:p w14:paraId="0E35758E" w14:textId="26FA8A97" w:rsidR="001C5FFF" w:rsidRPr="00C90D34" w:rsidRDefault="001C5FFF" w:rsidP="001C5FFF">
            <w:pPr>
              <w:spacing w:after="0"/>
              <w:jc w:val="center"/>
              <w:rPr>
                <w:lang w:val="en-CA"/>
              </w:rPr>
            </w:pPr>
            <w:r>
              <w:rPr>
                <w:lang w:val="en-CA"/>
              </w:rPr>
              <w:t>2.4</w:t>
            </w:r>
          </w:p>
        </w:tc>
        <w:tc>
          <w:tcPr>
            <w:tcW w:w="2032" w:type="dxa"/>
            <w:tcBorders>
              <w:top w:val="single" w:sz="8" w:space="0" w:color="94C600"/>
              <w:bottom w:val="single" w:sz="8" w:space="0" w:color="94C600"/>
              <w:right w:val="single" w:sz="8" w:space="0" w:color="94C600"/>
            </w:tcBorders>
          </w:tcPr>
          <w:p w14:paraId="33EB8488" w14:textId="56F9846D" w:rsidR="001C5FFF" w:rsidRPr="00C90D34" w:rsidRDefault="001C5FFF" w:rsidP="001C5FFF">
            <w:pPr>
              <w:spacing w:after="0"/>
              <w:jc w:val="center"/>
              <w:rPr>
                <w:lang w:val="en-CA"/>
              </w:rPr>
            </w:pPr>
            <w:r>
              <w:rPr>
                <w:lang w:val="en-CA"/>
              </w:rPr>
              <w:t>$</w:t>
            </w:r>
            <w:r w:rsidR="00D168BA">
              <w:rPr>
                <w:lang w:val="en-CA"/>
              </w:rPr>
              <w:t>3,691</w:t>
            </w:r>
          </w:p>
        </w:tc>
      </w:tr>
      <w:tr w:rsidR="001C5FFF" w:rsidRPr="00C90D34" w14:paraId="236863E2" w14:textId="77777777" w:rsidTr="001C5FFF">
        <w:trPr>
          <w:jc w:val="center"/>
        </w:trPr>
        <w:tc>
          <w:tcPr>
            <w:tcW w:w="3110" w:type="dxa"/>
            <w:tcBorders>
              <w:top w:val="single" w:sz="8" w:space="0" w:color="6E9400"/>
              <w:left w:val="single" w:sz="8" w:space="0" w:color="6E9400"/>
              <w:bottom w:val="single" w:sz="8" w:space="0" w:color="6E9400"/>
            </w:tcBorders>
          </w:tcPr>
          <w:p w14:paraId="01558316" w14:textId="0356A78D" w:rsidR="001C5FFF" w:rsidRPr="00C93767" w:rsidRDefault="001C5FFF" w:rsidP="001C5FFF">
            <w:pPr>
              <w:spacing w:after="0"/>
              <w:rPr>
                <w:bCs/>
                <w:lang w:val="en-CA"/>
              </w:rPr>
            </w:pPr>
            <w:r>
              <w:rPr>
                <w:bCs/>
                <w:lang w:val="en-CA"/>
              </w:rPr>
              <w:t>30-39</w:t>
            </w:r>
          </w:p>
        </w:tc>
        <w:tc>
          <w:tcPr>
            <w:tcW w:w="2031" w:type="dxa"/>
            <w:tcBorders>
              <w:top w:val="single" w:sz="8" w:space="0" w:color="6E9400"/>
              <w:bottom w:val="single" w:sz="8" w:space="0" w:color="6E9400"/>
            </w:tcBorders>
          </w:tcPr>
          <w:p w14:paraId="48928EFA" w14:textId="1B302495" w:rsidR="001C5FFF" w:rsidRPr="00C90D34" w:rsidRDefault="001C5FFF" w:rsidP="001C5FFF">
            <w:pPr>
              <w:spacing w:after="0"/>
              <w:jc w:val="center"/>
              <w:rPr>
                <w:lang w:val="en-CA"/>
              </w:rPr>
            </w:pPr>
            <w:r>
              <w:rPr>
                <w:lang w:val="en-CA"/>
              </w:rPr>
              <w:t>$</w:t>
            </w:r>
            <w:r w:rsidR="00D168BA">
              <w:rPr>
                <w:lang w:val="en-CA"/>
              </w:rPr>
              <w:t>13,893</w:t>
            </w:r>
          </w:p>
        </w:tc>
        <w:tc>
          <w:tcPr>
            <w:tcW w:w="2031" w:type="dxa"/>
            <w:tcBorders>
              <w:top w:val="single" w:sz="8" w:space="0" w:color="6E9400"/>
              <w:bottom w:val="single" w:sz="8" w:space="0" w:color="6E9400"/>
            </w:tcBorders>
          </w:tcPr>
          <w:p w14:paraId="3983D833" w14:textId="7715824C" w:rsidR="001C5FFF" w:rsidRPr="00C90D34" w:rsidRDefault="001C5FFF" w:rsidP="001C5FFF">
            <w:pPr>
              <w:spacing w:after="0"/>
              <w:jc w:val="center"/>
              <w:rPr>
                <w:lang w:val="en-CA"/>
              </w:rPr>
            </w:pPr>
            <w:r>
              <w:rPr>
                <w:lang w:val="en-CA"/>
              </w:rPr>
              <w:t>2.7</w:t>
            </w:r>
          </w:p>
        </w:tc>
        <w:tc>
          <w:tcPr>
            <w:tcW w:w="2032" w:type="dxa"/>
            <w:tcBorders>
              <w:top w:val="single" w:sz="8" w:space="0" w:color="6E9400"/>
              <w:bottom w:val="single" w:sz="8" w:space="0" w:color="6E9400"/>
              <w:right w:val="single" w:sz="8" w:space="0" w:color="6E9400"/>
            </w:tcBorders>
          </w:tcPr>
          <w:p w14:paraId="1209F77E" w14:textId="3B63D43B" w:rsidR="001C5FFF" w:rsidRPr="00C90D34" w:rsidRDefault="001C5FFF" w:rsidP="001C5FFF">
            <w:pPr>
              <w:spacing w:after="0"/>
              <w:jc w:val="center"/>
              <w:rPr>
                <w:lang w:val="en-CA"/>
              </w:rPr>
            </w:pPr>
            <w:r>
              <w:rPr>
                <w:lang w:val="en-CA"/>
              </w:rPr>
              <w:t>$</w:t>
            </w:r>
            <w:r w:rsidR="00D168BA">
              <w:rPr>
                <w:lang w:val="en-CA"/>
              </w:rPr>
              <w:t>5,146</w:t>
            </w:r>
          </w:p>
        </w:tc>
      </w:tr>
      <w:tr w:rsidR="001C5FFF" w:rsidRPr="00C90D34" w14:paraId="124C23A3" w14:textId="77777777" w:rsidTr="001C5FFF">
        <w:trPr>
          <w:jc w:val="center"/>
        </w:trPr>
        <w:tc>
          <w:tcPr>
            <w:tcW w:w="3110" w:type="dxa"/>
            <w:tcBorders>
              <w:top w:val="single" w:sz="8" w:space="0" w:color="94C600"/>
              <w:left w:val="single" w:sz="8" w:space="0" w:color="94C600"/>
              <w:bottom w:val="single" w:sz="8" w:space="0" w:color="94C600"/>
            </w:tcBorders>
          </w:tcPr>
          <w:p w14:paraId="76CC9709" w14:textId="0052FEF7" w:rsidR="001C5FFF" w:rsidRPr="00C93767" w:rsidRDefault="001C5FFF" w:rsidP="001C5FFF">
            <w:pPr>
              <w:spacing w:after="0"/>
              <w:rPr>
                <w:bCs/>
                <w:lang w:val="en-CA"/>
              </w:rPr>
            </w:pPr>
            <w:r>
              <w:rPr>
                <w:bCs/>
                <w:lang w:val="en-CA"/>
              </w:rPr>
              <w:t>40-49</w:t>
            </w:r>
          </w:p>
        </w:tc>
        <w:tc>
          <w:tcPr>
            <w:tcW w:w="2031" w:type="dxa"/>
            <w:tcBorders>
              <w:top w:val="single" w:sz="8" w:space="0" w:color="94C600"/>
              <w:bottom w:val="single" w:sz="8" w:space="0" w:color="94C600"/>
            </w:tcBorders>
          </w:tcPr>
          <w:p w14:paraId="21CB2E7B" w14:textId="50701F09" w:rsidR="001C5FFF" w:rsidRPr="00C90D34" w:rsidRDefault="001C5FFF" w:rsidP="001C5FFF">
            <w:pPr>
              <w:spacing w:after="0"/>
              <w:jc w:val="center"/>
              <w:rPr>
                <w:lang w:val="en-CA"/>
              </w:rPr>
            </w:pPr>
            <w:r>
              <w:rPr>
                <w:lang w:val="en-CA"/>
              </w:rPr>
              <w:t>$</w:t>
            </w:r>
            <w:r w:rsidR="00D168BA">
              <w:rPr>
                <w:lang w:val="en-CA"/>
              </w:rPr>
              <w:t>18,625</w:t>
            </w:r>
          </w:p>
        </w:tc>
        <w:tc>
          <w:tcPr>
            <w:tcW w:w="2031" w:type="dxa"/>
            <w:tcBorders>
              <w:top w:val="single" w:sz="8" w:space="0" w:color="94C600"/>
              <w:bottom w:val="single" w:sz="8" w:space="0" w:color="94C600"/>
            </w:tcBorders>
          </w:tcPr>
          <w:p w14:paraId="0AC2E20E" w14:textId="12D1C2AD" w:rsidR="001C5FFF" w:rsidRPr="00C90D34" w:rsidRDefault="009B496B" w:rsidP="001C5FFF">
            <w:pPr>
              <w:spacing w:after="0"/>
              <w:jc w:val="center"/>
              <w:rPr>
                <w:lang w:val="en-CA"/>
              </w:rPr>
            </w:pPr>
            <w:r>
              <w:rPr>
                <w:lang w:val="en-CA"/>
              </w:rPr>
              <w:t>3.1</w:t>
            </w:r>
          </w:p>
        </w:tc>
        <w:tc>
          <w:tcPr>
            <w:tcW w:w="2032" w:type="dxa"/>
            <w:tcBorders>
              <w:top w:val="single" w:sz="8" w:space="0" w:color="94C600"/>
              <w:bottom w:val="single" w:sz="8" w:space="0" w:color="94C600"/>
              <w:right w:val="single" w:sz="8" w:space="0" w:color="94C600"/>
            </w:tcBorders>
          </w:tcPr>
          <w:p w14:paraId="7166DD7E" w14:textId="69ECCF97" w:rsidR="001C5FFF" w:rsidRPr="00C90D34" w:rsidRDefault="0050093D" w:rsidP="001C5FFF">
            <w:pPr>
              <w:spacing w:after="0"/>
              <w:jc w:val="center"/>
              <w:rPr>
                <w:lang w:val="en-CA"/>
              </w:rPr>
            </w:pPr>
            <w:r>
              <w:rPr>
                <w:lang w:val="en-CA"/>
              </w:rPr>
              <w:t>$</w:t>
            </w:r>
            <w:r w:rsidR="00D168BA">
              <w:rPr>
                <w:lang w:val="en-CA"/>
              </w:rPr>
              <w:t>6,008</w:t>
            </w:r>
          </w:p>
        </w:tc>
      </w:tr>
      <w:tr w:rsidR="001C5FFF" w:rsidRPr="00C90D34" w14:paraId="3CD690FE" w14:textId="77777777" w:rsidTr="001C5FFF">
        <w:trPr>
          <w:jc w:val="center"/>
        </w:trPr>
        <w:tc>
          <w:tcPr>
            <w:tcW w:w="3110" w:type="dxa"/>
            <w:tcBorders>
              <w:top w:val="single" w:sz="8" w:space="0" w:color="6E9400"/>
              <w:left w:val="single" w:sz="8" w:space="0" w:color="6E9400"/>
              <w:bottom w:val="single" w:sz="8" w:space="0" w:color="6E9400"/>
            </w:tcBorders>
          </w:tcPr>
          <w:p w14:paraId="0DFFD73F" w14:textId="3340CCBA" w:rsidR="001C5FFF" w:rsidRPr="00C93767" w:rsidRDefault="001C5FFF" w:rsidP="001C5FFF">
            <w:pPr>
              <w:spacing w:after="0"/>
              <w:rPr>
                <w:bCs/>
                <w:lang w:val="en-CA"/>
              </w:rPr>
            </w:pPr>
            <w:r>
              <w:rPr>
                <w:bCs/>
                <w:lang w:val="en-CA"/>
              </w:rPr>
              <w:t>50-59</w:t>
            </w:r>
          </w:p>
        </w:tc>
        <w:tc>
          <w:tcPr>
            <w:tcW w:w="2031" w:type="dxa"/>
            <w:tcBorders>
              <w:top w:val="single" w:sz="8" w:space="0" w:color="6E9400"/>
              <w:bottom w:val="single" w:sz="8" w:space="0" w:color="6E9400"/>
            </w:tcBorders>
            <w:vAlign w:val="bottom"/>
          </w:tcPr>
          <w:p w14:paraId="2AF133C0" w14:textId="7EB0F480" w:rsidR="001C5FFF" w:rsidRPr="00C90D34" w:rsidRDefault="001C5FFF" w:rsidP="001C5FFF">
            <w:pPr>
              <w:spacing w:after="0"/>
              <w:jc w:val="center"/>
              <w:rPr>
                <w:lang w:val="en-CA"/>
              </w:rPr>
            </w:pPr>
            <w:r>
              <w:rPr>
                <w:lang w:val="en-CA"/>
              </w:rPr>
              <w:t>$</w:t>
            </w:r>
            <w:r w:rsidR="00D168BA">
              <w:rPr>
                <w:lang w:val="en-CA"/>
              </w:rPr>
              <w:t>23,106</w:t>
            </w:r>
          </w:p>
        </w:tc>
        <w:tc>
          <w:tcPr>
            <w:tcW w:w="2031" w:type="dxa"/>
            <w:tcBorders>
              <w:top w:val="single" w:sz="8" w:space="0" w:color="6E9400"/>
              <w:bottom w:val="single" w:sz="8" w:space="0" w:color="6E9400"/>
            </w:tcBorders>
            <w:vAlign w:val="bottom"/>
          </w:tcPr>
          <w:p w14:paraId="025B1882" w14:textId="649C507B" w:rsidR="001C5FFF" w:rsidRPr="00C90D34" w:rsidRDefault="009B496B" w:rsidP="001C5FFF">
            <w:pPr>
              <w:spacing w:after="0"/>
              <w:jc w:val="center"/>
              <w:rPr>
                <w:lang w:val="en-CA"/>
              </w:rPr>
            </w:pPr>
            <w:r>
              <w:rPr>
                <w:lang w:val="en-CA"/>
              </w:rPr>
              <w:t>3.4</w:t>
            </w:r>
          </w:p>
        </w:tc>
        <w:tc>
          <w:tcPr>
            <w:tcW w:w="2032" w:type="dxa"/>
            <w:tcBorders>
              <w:top w:val="single" w:sz="8" w:space="0" w:color="6E9400"/>
              <w:bottom w:val="single" w:sz="8" w:space="0" w:color="6E9400"/>
              <w:right w:val="single" w:sz="8" w:space="0" w:color="6E9400"/>
            </w:tcBorders>
            <w:vAlign w:val="bottom"/>
          </w:tcPr>
          <w:p w14:paraId="7BC7D8D6" w14:textId="2F20D0F0" w:rsidR="001C5FFF" w:rsidRPr="00C90D34" w:rsidRDefault="001C5FFF" w:rsidP="001C5FFF">
            <w:pPr>
              <w:spacing w:after="0"/>
              <w:jc w:val="center"/>
              <w:rPr>
                <w:lang w:val="en-CA"/>
              </w:rPr>
            </w:pPr>
            <w:r>
              <w:rPr>
                <w:lang w:val="en-CA"/>
              </w:rPr>
              <w:t>$</w:t>
            </w:r>
            <w:r w:rsidR="00D168BA">
              <w:rPr>
                <w:lang w:val="en-CA"/>
              </w:rPr>
              <w:t>6,796</w:t>
            </w:r>
          </w:p>
        </w:tc>
      </w:tr>
      <w:tr w:rsidR="001C5FFF" w:rsidRPr="00C90D34" w14:paraId="7A323987" w14:textId="77777777" w:rsidTr="00D168BA">
        <w:trPr>
          <w:jc w:val="center"/>
        </w:trPr>
        <w:tc>
          <w:tcPr>
            <w:tcW w:w="3110" w:type="dxa"/>
            <w:tcBorders>
              <w:top w:val="single" w:sz="8" w:space="0" w:color="6E9400"/>
              <w:left w:val="single" w:sz="8" w:space="0" w:color="6E9400"/>
              <w:bottom w:val="single" w:sz="8" w:space="0" w:color="6E9400"/>
            </w:tcBorders>
          </w:tcPr>
          <w:p w14:paraId="0E852570" w14:textId="3210FC6C" w:rsidR="001C5FFF" w:rsidRDefault="001C5FFF" w:rsidP="001C5FFF">
            <w:pPr>
              <w:spacing w:after="0"/>
              <w:rPr>
                <w:bCs/>
                <w:lang w:val="en-CA"/>
              </w:rPr>
            </w:pPr>
            <w:r>
              <w:rPr>
                <w:bCs/>
                <w:lang w:val="en-CA"/>
              </w:rPr>
              <w:t>60+</w:t>
            </w:r>
          </w:p>
        </w:tc>
        <w:tc>
          <w:tcPr>
            <w:tcW w:w="2031" w:type="dxa"/>
            <w:tcBorders>
              <w:top w:val="single" w:sz="8" w:space="0" w:color="6E9400"/>
              <w:bottom w:val="single" w:sz="8" w:space="0" w:color="6E9400"/>
            </w:tcBorders>
            <w:vAlign w:val="bottom"/>
          </w:tcPr>
          <w:p w14:paraId="24F9DFE7" w14:textId="5547B8F5" w:rsidR="001C5FFF" w:rsidRDefault="001C5FFF" w:rsidP="001C5FFF">
            <w:pPr>
              <w:spacing w:after="0"/>
              <w:jc w:val="center"/>
              <w:rPr>
                <w:lang w:val="en-CA"/>
              </w:rPr>
            </w:pPr>
            <w:r>
              <w:rPr>
                <w:lang w:val="en-CA"/>
              </w:rPr>
              <w:t>$</w:t>
            </w:r>
            <w:r w:rsidR="00D168BA">
              <w:rPr>
                <w:lang w:val="en-CA"/>
              </w:rPr>
              <w:t>28,250</w:t>
            </w:r>
          </w:p>
        </w:tc>
        <w:tc>
          <w:tcPr>
            <w:tcW w:w="2031" w:type="dxa"/>
            <w:tcBorders>
              <w:top w:val="single" w:sz="8" w:space="0" w:color="6E9400"/>
              <w:bottom w:val="single" w:sz="8" w:space="0" w:color="6E9400"/>
            </w:tcBorders>
            <w:vAlign w:val="bottom"/>
          </w:tcPr>
          <w:p w14:paraId="210F6CD3" w14:textId="59EDE36E" w:rsidR="001C5FFF" w:rsidRDefault="009B496B" w:rsidP="001C5FFF">
            <w:pPr>
              <w:spacing w:after="0"/>
              <w:jc w:val="center"/>
              <w:rPr>
                <w:lang w:val="en-CA"/>
              </w:rPr>
            </w:pPr>
            <w:r>
              <w:rPr>
                <w:lang w:val="en-CA"/>
              </w:rPr>
              <w:t>3.9</w:t>
            </w:r>
          </w:p>
        </w:tc>
        <w:tc>
          <w:tcPr>
            <w:tcW w:w="2032" w:type="dxa"/>
            <w:tcBorders>
              <w:top w:val="single" w:sz="8" w:space="0" w:color="6E9400"/>
              <w:bottom w:val="single" w:sz="8" w:space="0" w:color="6E9400"/>
              <w:right w:val="single" w:sz="8" w:space="0" w:color="6E9400"/>
            </w:tcBorders>
            <w:vAlign w:val="bottom"/>
          </w:tcPr>
          <w:p w14:paraId="67CE8E33" w14:textId="59388308" w:rsidR="001C5FFF" w:rsidRDefault="0050093D" w:rsidP="001C5FFF">
            <w:pPr>
              <w:spacing w:after="0"/>
              <w:jc w:val="center"/>
              <w:rPr>
                <w:lang w:val="en-CA"/>
              </w:rPr>
            </w:pPr>
            <w:r>
              <w:rPr>
                <w:lang w:val="en-CA"/>
              </w:rPr>
              <w:t>$</w:t>
            </w:r>
            <w:r w:rsidR="00D168BA">
              <w:rPr>
                <w:lang w:val="en-CA"/>
              </w:rPr>
              <w:t>7,244</w:t>
            </w:r>
          </w:p>
        </w:tc>
      </w:tr>
      <w:tr w:rsidR="00D168BA" w:rsidRPr="00C90D34" w14:paraId="1D415451" w14:textId="77777777" w:rsidTr="00D168BA">
        <w:trPr>
          <w:jc w:val="center"/>
        </w:trPr>
        <w:tc>
          <w:tcPr>
            <w:tcW w:w="9204" w:type="dxa"/>
            <w:gridSpan w:val="4"/>
            <w:tcBorders>
              <w:top w:val="single" w:sz="8" w:space="0" w:color="6E9400"/>
              <w:left w:val="nil"/>
              <w:bottom w:val="nil"/>
              <w:right w:val="nil"/>
            </w:tcBorders>
          </w:tcPr>
          <w:p w14:paraId="6D5CD416" w14:textId="43B337B9" w:rsidR="00D168BA" w:rsidRDefault="00D168BA" w:rsidP="00D168BA">
            <w:pPr>
              <w:spacing w:after="0"/>
              <w:rPr>
                <w:lang w:val="en-CA"/>
              </w:rPr>
            </w:pPr>
            <w:r w:rsidRPr="00F13498">
              <w:rPr>
                <w:sz w:val="20"/>
                <w:lang w:val="en-CA"/>
              </w:rPr>
              <w:t xml:space="preserve">a - those with </w:t>
            </w:r>
            <w:r>
              <w:rPr>
                <w:sz w:val="20"/>
                <w:lang w:val="en-CA"/>
              </w:rPr>
              <w:t>credit card debt</w:t>
            </w:r>
          </w:p>
        </w:tc>
      </w:tr>
    </w:tbl>
    <w:p w14:paraId="59D21B6D" w14:textId="77777777" w:rsidR="001C5FFF" w:rsidRDefault="001C5FFF" w:rsidP="007A7E89">
      <w:pPr>
        <w:rPr>
          <w:lang w:val="en-CA"/>
        </w:rPr>
      </w:pPr>
    </w:p>
    <w:p w14:paraId="0FBCF31D" w14:textId="2315E5E1" w:rsidR="001C5FFF" w:rsidRDefault="009B496B" w:rsidP="009B496B">
      <w:pPr>
        <w:pStyle w:val="Heading3"/>
        <w:rPr>
          <w:lang w:val="en-CA"/>
        </w:rPr>
      </w:pPr>
      <w:r>
        <w:rPr>
          <w:lang w:val="en-CA"/>
        </w:rPr>
        <w:t>Student Debt</w:t>
      </w:r>
    </w:p>
    <w:p w14:paraId="4146444F" w14:textId="77777777" w:rsidR="0000607F" w:rsidRPr="0000607F" w:rsidRDefault="0000607F" w:rsidP="0000607F">
      <w:r w:rsidRPr="0000607F">
        <w:t>Of insolvent debtors, 18% had a student loan at the time of insolvency, up from 15% in 2017. Those with student debt owed an average of $14,729 representing 32% of their overall debt load.</w:t>
      </w:r>
    </w:p>
    <w:p w14:paraId="3FB769EF" w14:textId="77777777" w:rsidR="0000607F" w:rsidRPr="0000607F" w:rsidRDefault="0000607F" w:rsidP="0000607F">
      <w:r w:rsidRPr="0000607F">
        <w:t>Student debtors are primarily women. In 2018, more than 6 in 10 (61%) student debt driven insolvencies were filed by women, compared to 39% for men.  Women student debtors owed a remaining $15,171 in student loans at the time of filing, compared to $14,021 for men.</w:t>
      </w:r>
    </w:p>
    <w:p w14:paraId="2A600A82" w14:textId="6D9C1C78" w:rsidR="009B496B" w:rsidRDefault="009B496B" w:rsidP="009B496B">
      <w:pPr>
        <w:pStyle w:val="Heading3"/>
      </w:pPr>
      <w:r>
        <w:t>Tax Debt</w:t>
      </w:r>
    </w:p>
    <w:p w14:paraId="18FD1A9D" w14:textId="67A3EFDC" w:rsidR="009B496B" w:rsidRPr="00247471" w:rsidRDefault="0000607F" w:rsidP="00247471">
      <w:r w:rsidRPr="00247471">
        <w:t>Of insolvent debtors, 38% owe taxes, either property tax or debts owing to Canada Revenue Agency. The average debt they owe is $23,336 with the majority being amounts owing to Canada Revenue Agency.</w:t>
      </w:r>
    </w:p>
    <w:p w14:paraId="456F4625" w14:textId="0F91CC13" w:rsidR="002A4AB5" w:rsidRPr="0060593E" w:rsidRDefault="002A4AB5" w:rsidP="002A4AB5">
      <w:pPr>
        <w:pStyle w:val="Heading3"/>
        <w:rPr>
          <w:rFonts w:eastAsiaTheme="minorHAnsi"/>
          <w:lang w:val="en-CA"/>
        </w:rPr>
      </w:pPr>
      <w:bookmarkStart w:id="2" w:name="_Toc478334228"/>
      <w:r w:rsidRPr="0060593E">
        <w:rPr>
          <w:rFonts w:eastAsiaTheme="minorHAnsi"/>
          <w:lang w:val="en-CA"/>
        </w:rPr>
        <w:t>Causes</w:t>
      </w:r>
    </w:p>
    <w:p w14:paraId="2E8CAB50" w14:textId="77777777" w:rsidR="00247471" w:rsidRPr="00247471" w:rsidRDefault="00247471" w:rsidP="00247471">
      <w:r w:rsidRPr="00247471">
        <w:t>Overall economic conditions change the primary reasons people find themselves with more debt than they can repay and ultimately choose to file a bankruptcy or consumer proposal.</w:t>
      </w:r>
    </w:p>
    <w:p w14:paraId="6594E364" w14:textId="77777777" w:rsidR="00247471" w:rsidRPr="00247471" w:rsidRDefault="00247471" w:rsidP="00247471">
      <w:r w:rsidRPr="00247471">
        <w:t>With a reasonably healthy economy in Ontario in recent years, the percentage of debtors claiming job or income loss as the primary cause has dropped significantly.  In 2018, 81% of insolvent debtors were employed at the time of filing, up from 78% in 2016.</w:t>
      </w:r>
    </w:p>
    <w:p w14:paraId="1BE47089" w14:textId="77777777" w:rsidR="00247471" w:rsidRPr="00247471" w:rsidRDefault="00247471" w:rsidP="00247471">
      <w:r w:rsidRPr="00247471">
        <w:t>Many more are likely to blame overextension of credit (including the use of payday loans), financial mismanagement and unexpected expenses.</w:t>
      </w:r>
    </w:p>
    <w:tbl>
      <w:tblPr>
        <w:tblW w:w="9204"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500"/>
        <w:gridCol w:w="1901"/>
        <w:gridCol w:w="1901"/>
        <w:gridCol w:w="1902"/>
      </w:tblGrid>
      <w:tr w:rsidR="00166662" w:rsidRPr="00C90D34" w14:paraId="05C6F043" w14:textId="77777777" w:rsidTr="00166662">
        <w:trPr>
          <w:jc w:val="center"/>
        </w:trPr>
        <w:tc>
          <w:tcPr>
            <w:tcW w:w="3500" w:type="dxa"/>
            <w:tcBorders>
              <w:top w:val="single" w:sz="8" w:space="0" w:color="6E9400"/>
              <w:left w:val="single" w:sz="8" w:space="0" w:color="6E9400"/>
              <w:bottom w:val="single" w:sz="8" w:space="0" w:color="6E9400"/>
            </w:tcBorders>
            <w:shd w:val="clear" w:color="auto" w:fill="6E9400"/>
          </w:tcPr>
          <w:p w14:paraId="18ACFE25" w14:textId="4C36C850" w:rsidR="00166662" w:rsidRPr="006037A4" w:rsidRDefault="005E63B7" w:rsidP="00005966">
            <w:pPr>
              <w:spacing w:after="0"/>
              <w:rPr>
                <w:b/>
                <w:bCs/>
                <w:color w:val="FFFFFF"/>
                <w:lang w:val="en-CA"/>
              </w:rPr>
            </w:pPr>
            <w:r>
              <w:rPr>
                <w:b/>
                <w:bCs/>
                <w:color w:val="FFFFFF"/>
                <w:lang w:val="en-CA"/>
              </w:rPr>
              <w:t>Cause of Insolvency</w:t>
            </w:r>
          </w:p>
        </w:tc>
        <w:tc>
          <w:tcPr>
            <w:tcW w:w="1901" w:type="dxa"/>
            <w:tcBorders>
              <w:top w:val="single" w:sz="8" w:space="0" w:color="6E9400"/>
              <w:bottom w:val="single" w:sz="8" w:space="0" w:color="6E9400"/>
            </w:tcBorders>
            <w:shd w:val="clear" w:color="auto" w:fill="6E9400"/>
            <w:vAlign w:val="bottom"/>
          </w:tcPr>
          <w:p w14:paraId="3F9E92EE" w14:textId="77777777" w:rsidR="00166662" w:rsidRPr="00C90D34" w:rsidRDefault="00166662" w:rsidP="00005966">
            <w:pPr>
              <w:spacing w:after="0"/>
              <w:jc w:val="center"/>
              <w:rPr>
                <w:b/>
                <w:bCs/>
                <w:color w:val="FFFFFF"/>
                <w:lang w:val="en-CA"/>
              </w:rPr>
            </w:pPr>
            <w:r>
              <w:rPr>
                <w:b/>
                <w:bCs/>
                <w:color w:val="FFFFFF"/>
                <w:lang w:val="en-CA"/>
              </w:rPr>
              <w:t>2016</w:t>
            </w:r>
          </w:p>
        </w:tc>
        <w:tc>
          <w:tcPr>
            <w:tcW w:w="1901" w:type="dxa"/>
            <w:tcBorders>
              <w:top w:val="single" w:sz="8" w:space="0" w:color="6E9400"/>
              <w:bottom w:val="single" w:sz="8" w:space="0" w:color="6E9400"/>
            </w:tcBorders>
            <w:shd w:val="clear" w:color="auto" w:fill="6E9400"/>
          </w:tcPr>
          <w:p w14:paraId="4177905C" w14:textId="77777777" w:rsidR="00166662" w:rsidRPr="00C90D34" w:rsidRDefault="00166662" w:rsidP="00005966">
            <w:pPr>
              <w:spacing w:after="0"/>
              <w:jc w:val="center"/>
              <w:rPr>
                <w:b/>
                <w:bCs/>
                <w:color w:val="FFFFFF"/>
                <w:lang w:val="en-CA"/>
              </w:rPr>
            </w:pPr>
            <w:r>
              <w:rPr>
                <w:b/>
                <w:bCs/>
                <w:color w:val="FFFFFF"/>
                <w:lang w:val="en-CA"/>
              </w:rPr>
              <w:t>2017</w:t>
            </w:r>
          </w:p>
        </w:tc>
        <w:tc>
          <w:tcPr>
            <w:tcW w:w="1902" w:type="dxa"/>
            <w:tcBorders>
              <w:top w:val="single" w:sz="8" w:space="0" w:color="6E9400"/>
              <w:bottom w:val="single" w:sz="8" w:space="0" w:color="6E9400"/>
              <w:right w:val="single" w:sz="8" w:space="0" w:color="6E9400"/>
            </w:tcBorders>
            <w:shd w:val="clear" w:color="auto" w:fill="6E9400"/>
          </w:tcPr>
          <w:p w14:paraId="22E9FE21" w14:textId="77777777" w:rsidR="00166662" w:rsidRPr="00C90D34" w:rsidRDefault="00166662" w:rsidP="00005966">
            <w:pPr>
              <w:spacing w:after="0"/>
              <w:jc w:val="center"/>
              <w:rPr>
                <w:b/>
                <w:bCs/>
                <w:color w:val="FFFFFF"/>
                <w:lang w:val="en-CA"/>
              </w:rPr>
            </w:pPr>
            <w:r>
              <w:rPr>
                <w:b/>
                <w:bCs/>
                <w:color w:val="FFFFFF"/>
                <w:lang w:val="en-CA"/>
              </w:rPr>
              <w:t>2018</w:t>
            </w:r>
          </w:p>
        </w:tc>
      </w:tr>
      <w:tr w:rsidR="00166662" w:rsidRPr="00C90D34" w14:paraId="26E21030" w14:textId="77777777" w:rsidTr="00166662">
        <w:trPr>
          <w:jc w:val="center"/>
        </w:trPr>
        <w:tc>
          <w:tcPr>
            <w:tcW w:w="3500" w:type="dxa"/>
            <w:tcBorders>
              <w:top w:val="single" w:sz="8" w:space="0" w:color="94C600"/>
              <w:left w:val="single" w:sz="8" w:space="0" w:color="94C600"/>
              <w:bottom w:val="single" w:sz="8" w:space="0" w:color="94C600"/>
            </w:tcBorders>
          </w:tcPr>
          <w:p w14:paraId="3BFBFDA0" w14:textId="1391D7C9" w:rsidR="00166662" w:rsidRPr="00C93767" w:rsidRDefault="00166662" w:rsidP="00005966">
            <w:pPr>
              <w:spacing w:after="0"/>
              <w:rPr>
                <w:bCs/>
                <w:lang w:val="en-CA"/>
              </w:rPr>
            </w:pPr>
            <w:r>
              <w:rPr>
                <w:bCs/>
                <w:lang w:val="en-CA"/>
              </w:rPr>
              <w:t>Finances, overuse of credit</w:t>
            </w:r>
          </w:p>
        </w:tc>
        <w:tc>
          <w:tcPr>
            <w:tcW w:w="1901" w:type="dxa"/>
            <w:tcBorders>
              <w:top w:val="single" w:sz="8" w:space="0" w:color="94C600"/>
              <w:bottom w:val="single" w:sz="8" w:space="0" w:color="94C600"/>
            </w:tcBorders>
          </w:tcPr>
          <w:p w14:paraId="4D3DC14F" w14:textId="394A14D8" w:rsidR="00166662" w:rsidRPr="00C90D34" w:rsidRDefault="00166662" w:rsidP="00005966">
            <w:pPr>
              <w:spacing w:after="0"/>
              <w:jc w:val="center"/>
              <w:rPr>
                <w:lang w:val="en-CA"/>
              </w:rPr>
            </w:pPr>
            <w:r>
              <w:rPr>
                <w:lang w:val="en-CA"/>
              </w:rPr>
              <w:t>58</w:t>
            </w:r>
            <w:r w:rsidRPr="00C90D34">
              <w:rPr>
                <w:lang w:val="en-CA"/>
              </w:rPr>
              <w:t>%</w:t>
            </w:r>
          </w:p>
        </w:tc>
        <w:tc>
          <w:tcPr>
            <w:tcW w:w="1901" w:type="dxa"/>
            <w:tcBorders>
              <w:top w:val="single" w:sz="8" w:space="0" w:color="94C600"/>
              <w:bottom w:val="single" w:sz="8" w:space="0" w:color="94C600"/>
            </w:tcBorders>
          </w:tcPr>
          <w:p w14:paraId="552DD9E7" w14:textId="52609185" w:rsidR="00166662" w:rsidRPr="00C90D34" w:rsidRDefault="00166662" w:rsidP="00005966">
            <w:pPr>
              <w:spacing w:after="0"/>
              <w:jc w:val="center"/>
              <w:rPr>
                <w:lang w:val="en-CA"/>
              </w:rPr>
            </w:pPr>
            <w:r>
              <w:rPr>
                <w:lang w:val="en-CA"/>
              </w:rPr>
              <w:t>58</w:t>
            </w:r>
            <w:r w:rsidRPr="00C90D34">
              <w:rPr>
                <w:lang w:val="en-CA"/>
              </w:rPr>
              <w:t>%</w:t>
            </w:r>
          </w:p>
        </w:tc>
        <w:tc>
          <w:tcPr>
            <w:tcW w:w="1902" w:type="dxa"/>
            <w:tcBorders>
              <w:top w:val="single" w:sz="8" w:space="0" w:color="94C600"/>
              <w:bottom w:val="single" w:sz="8" w:space="0" w:color="94C600"/>
              <w:right w:val="single" w:sz="8" w:space="0" w:color="94C600"/>
            </w:tcBorders>
          </w:tcPr>
          <w:p w14:paraId="5B0D4377" w14:textId="370F9A8D" w:rsidR="00166662" w:rsidRPr="00C90D34" w:rsidRDefault="00166662" w:rsidP="00005966">
            <w:pPr>
              <w:spacing w:after="0"/>
              <w:jc w:val="center"/>
              <w:rPr>
                <w:lang w:val="en-CA"/>
              </w:rPr>
            </w:pPr>
            <w:r>
              <w:rPr>
                <w:lang w:val="en-CA"/>
              </w:rPr>
              <w:t>61</w:t>
            </w:r>
            <w:r w:rsidRPr="00C90D34">
              <w:rPr>
                <w:lang w:val="en-CA"/>
              </w:rPr>
              <w:t>%</w:t>
            </w:r>
          </w:p>
        </w:tc>
      </w:tr>
      <w:tr w:rsidR="00166662" w:rsidRPr="00C90D34" w14:paraId="393A140A" w14:textId="77777777" w:rsidTr="00166662">
        <w:trPr>
          <w:jc w:val="center"/>
        </w:trPr>
        <w:tc>
          <w:tcPr>
            <w:tcW w:w="3500" w:type="dxa"/>
            <w:tcBorders>
              <w:top w:val="single" w:sz="8" w:space="0" w:color="6E9400"/>
              <w:left w:val="single" w:sz="8" w:space="0" w:color="6E9400"/>
              <w:bottom w:val="single" w:sz="8" w:space="0" w:color="6E9400"/>
            </w:tcBorders>
          </w:tcPr>
          <w:p w14:paraId="4993C0C0" w14:textId="4D88BF1D" w:rsidR="00166662" w:rsidRPr="00C93767" w:rsidRDefault="00166662" w:rsidP="00005966">
            <w:pPr>
              <w:spacing w:after="0"/>
              <w:rPr>
                <w:bCs/>
                <w:lang w:val="en-CA"/>
              </w:rPr>
            </w:pPr>
            <w:r>
              <w:rPr>
                <w:bCs/>
                <w:lang w:val="en-CA"/>
              </w:rPr>
              <w:t>Job related, income loss</w:t>
            </w:r>
          </w:p>
        </w:tc>
        <w:tc>
          <w:tcPr>
            <w:tcW w:w="1901" w:type="dxa"/>
            <w:tcBorders>
              <w:top w:val="single" w:sz="8" w:space="0" w:color="6E9400"/>
              <w:bottom w:val="single" w:sz="8" w:space="0" w:color="6E9400"/>
            </w:tcBorders>
          </w:tcPr>
          <w:p w14:paraId="4456723F" w14:textId="1B35B676" w:rsidR="00166662" w:rsidRPr="00C90D34" w:rsidRDefault="00166662" w:rsidP="00005966">
            <w:pPr>
              <w:spacing w:after="0"/>
              <w:jc w:val="center"/>
              <w:rPr>
                <w:lang w:val="en-CA"/>
              </w:rPr>
            </w:pPr>
            <w:r>
              <w:rPr>
                <w:lang w:val="en-CA"/>
              </w:rPr>
              <w:t>55</w:t>
            </w:r>
            <w:r w:rsidRPr="00C90D34">
              <w:rPr>
                <w:lang w:val="en-CA"/>
              </w:rPr>
              <w:t>%</w:t>
            </w:r>
          </w:p>
        </w:tc>
        <w:tc>
          <w:tcPr>
            <w:tcW w:w="1901" w:type="dxa"/>
            <w:tcBorders>
              <w:top w:val="single" w:sz="8" w:space="0" w:color="6E9400"/>
              <w:bottom w:val="single" w:sz="8" w:space="0" w:color="6E9400"/>
            </w:tcBorders>
          </w:tcPr>
          <w:p w14:paraId="4369B553" w14:textId="32F85BAB" w:rsidR="00166662" w:rsidRPr="00C90D34" w:rsidRDefault="00166662" w:rsidP="00005966">
            <w:pPr>
              <w:spacing w:after="0"/>
              <w:jc w:val="center"/>
              <w:rPr>
                <w:lang w:val="en-CA"/>
              </w:rPr>
            </w:pPr>
            <w:r>
              <w:rPr>
                <w:lang w:val="en-CA"/>
              </w:rPr>
              <w:t>29</w:t>
            </w:r>
            <w:r w:rsidRPr="00C90D34">
              <w:rPr>
                <w:lang w:val="en-CA"/>
              </w:rPr>
              <w:t>%</w:t>
            </w:r>
          </w:p>
        </w:tc>
        <w:tc>
          <w:tcPr>
            <w:tcW w:w="1902" w:type="dxa"/>
            <w:tcBorders>
              <w:top w:val="single" w:sz="8" w:space="0" w:color="6E9400"/>
              <w:bottom w:val="single" w:sz="8" w:space="0" w:color="6E9400"/>
              <w:right w:val="single" w:sz="8" w:space="0" w:color="6E9400"/>
            </w:tcBorders>
          </w:tcPr>
          <w:p w14:paraId="495E1435" w14:textId="512CB898" w:rsidR="00166662" w:rsidRPr="00C90D34" w:rsidRDefault="00166662" w:rsidP="00005966">
            <w:pPr>
              <w:spacing w:after="0"/>
              <w:jc w:val="center"/>
              <w:rPr>
                <w:lang w:val="en-CA"/>
              </w:rPr>
            </w:pPr>
            <w:r>
              <w:rPr>
                <w:lang w:val="en-CA"/>
              </w:rPr>
              <w:t>26</w:t>
            </w:r>
            <w:r w:rsidRPr="00C90D34">
              <w:rPr>
                <w:lang w:val="en-CA"/>
              </w:rPr>
              <w:t>%</w:t>
            </w:r>
          </w:p>
        </w:tc>
      </w:tr>
      <w:tr w:rsidR="00166662" w:rsidRPr="00C90D34" w14:paraId="7FDECE0B" w14:textId="77777777" w:rsidTr="00166662">
        <w:trPr>
          <w:jc w:val="center"/>
        </w:trPr>
        <w:tc>
          <w:tcPr>
            <w:tcW w:w="3500" w:type="dxa"/>
            <w:tcBorders>
              <w:top w:val="single" w:sz="8" w:space="0" w:color="94C600"/>
              <w:left w:val="single" w:sz="8" w:space="0" w:color="94C600"/>
              <w:bottom w:val="single" w:sz="8" w:space="0" w:color="94C600"/>
            </w:tcBorders>
          </w:tcPr>
          <w:p w14:paraId="041F94DC" w14:textId="6CBCE24E" w:rsidR="00166662" w:rsidRPr="00C93767" w:rsidRDefault="00166662" w:rsidP="00005966">
            <w:pPr>
              <w:spacing w:after="0"/>
              <w:rPr>
                <w:bCs/>
                <w:lang w:val="en-CA"/>
              </w:rPr>
            </w:pPr>
            <w:r>
              <w:rPr>
                <w:bCs/>
                <w:lang w:val="en-CA"/>
              </w:rPr>
              <w:t>Illness, injury and health</w:t>
            </w:r>
          </w:p>
        </w:tc>
        <w:tc>
          <w:tcPr>
            <w:tcW w:w="1901" w:type="dxa"/>
            <w:tcBorders>
              <w:top w:val="single" w:sz="8" w:space="0" w:color="94C600"/>
              <w:bottom w:val="single" w:sz="8" w:space="0" w:color="94C600"/>
            </w:tcBorders>
          </w:tcPr>
          <w:p w14:paraId="4A9E6B80" w14:textId="11A7EBCF" w:rsidR="00166662" w:rsidRPr="00C90D34" w:rsidRDefault="00166662" w:rsidP="00005966">
            <w:pPr>
              <w:spacing w:after="0"/>
              <w:jc w:val="center"/>
              <w:rPr>
                <w:lang w:val="en-CA"/>
              </w:rPr>
            </w:pPr>
            <w:r>
              <w:rPr>
                <w:lang w:val="en-CA"/>
              </w:rPr>
              <w:t>14</w:t>
            </w:r>
            <w:r w:rsidRPr="00C90D34">
              <w:rPr>
                <w:lang w:val="en-CA"/>
              </w:rPr>
              <w:t>%</w:t>
            </w:r>
          </w:p>
        </w:tc>
        <w:tc>
          <w:tcPr>
            <w:tcW w:w="1901" w:type="dxa"/>
            <w:tcBorders>
              <w:top w:val="single" w:sz="8" w:space="0" w:color="94C600"/>
              <w:bottom w:val="single" w:sz="8" w:space="0" w:color="94C600"/>
            </w:tcBorders>
          </w:tcPr>
          <w:p w14:paraId="3A8EF474" w14:textId="4ED11CBE" w:rsidR="00166662" w:rsidRPr="00C90D34" w:rsidRDefault="00166662" w:rsidP="00005966">
            <w:pPr>
              <w:spacing w:after="0"/>
              <w:jc w:val="center"/>
              <w:rPr>
                <w:lang w:val="en-CA"/>
              </w:rPr>
            </w:pPr>
            <w:r>
              <w:rPr>
                <w:lang w:val="en-CA"/>
              </w:rPr>
              <w:t>17</w:t>
            </w:r>
            <w:r w:rsidRPr="00C90D34">
              <w:rPr>
                <w:lang w:val="en-CA"/>
              </w:rPr>
              <w:t>%</w:t>
            </w:r>
          </w:p>
        </w:tc>
        <w:tc>
          <w:tcPr>
            <w:tcW w:w="1902" w:type="dxa"/>
            <w:tcBorders>
              <w:top w:val="single" w:sz="8" w:space="0" w:color="94C600"/>
              <w:bottom w:val="single" w:sz="8" w:space="0" w:color="94C600"/>
              <w:right w:val="single" w:sz="8" w:space="0" w:color="94C600"/>
            </w:tcBorders>
          </w:tcPr>
          <w:p w14:paraId="1944CFA6" w14:textId="28AAB266" w:rsidR="00166662" w:rsidRPr="00C90D34" w:rsidRDefault="00166662" w:rsidP="00005966">
            <w:pPr>
              <w:spacing w:after="0"/>
              <w:jc w:val="center"/>
              <w:rPr>
                <w:lang w:val="en-CA"/>
              </w:rPr>
            </w:pPr>
            <w:r>
              <w:rPr>
                <w:lang w:val="en-CA"/>
              </w:rPr>
              <w:t>16</w:t>
            </w:r>
            <w:r w:rsidRPr="00C90D34">
              <w:rPr>
                <w:lang w:val="en-CA"/>
              </w:rPr>
              <w:t>%</w:t>
            </w:r>
          </w:p>
        </w:tc>
      </w:tr>
      <w:tr w:rsidR="00166662" w:rsidRPr="00C90D34" w14:paraId="2E90864A" w14:textId="77777777" w:rsidTr="00166662">
        <w:trPr>
          <w:jc w:val="center"/>
        </w:trPr>
        <w:tc>
          <w:tcPr>
            <w:tcW w:w="3500" w:type="dxa"/>
            <w:tcBorders>
              <w:top w:val="single" w:sz="8" w:space="0" w:color="6E9400"/>
              <w:left w:val="single" w:sz="8" w:space="0" w:color="6E9400"/>
              <w:bottom w:val="single" w:sz="8" w:space="0" w:color="6E9400"/>
            </w:tcBorders>
          </w:tcPr>
          <w:p w14:paraId="21938BC9" w14:textId="65998A7C" w:rsidR="00166662" w:rsidRPr="00C93767" w:rsidRDefault="00166662" w:rsidP="00005966">
            <w:pPr>
              <w:spacing w:after="0"/>
              <w:rPr>
                <w:bCs/>
                <w:lang w:val="en-CA"/>
              </w:rPr>
            </w:pPr>
            <w:r>
              <w:rPr>
                <w:bCs/>
                <w:lang w:val="en-CA"/>
              </w:rPr>
              <w:t>Marital or relationship breakdown</w:t>
            </w:r>
          </w:p>
        </w:tc>
        <w:tc>
          <w:tcPr>
            <w:tcW w:w="1901" w:type="dxa"/>
            <w:tcBorders>
              <w:top w:val="single" w:sz="8" w:space="0" w:color="6E9400"/>
              <w:bottom w:val="single" w:sz="8" w:space="0" w:color="6E9400"/>
            </w:tcBorders>
          </w:tcPr>
          <w:p w14:paraId="34666760" w14:textId="41942865" w:rsidR="00166662" w:rsidRPr="00C90D34" w:rsidRDefault="00166662" w:rsidP="00005966">
            <w:pPr>
              <w:spacing w:after="0"/>
              <w:jc w:val="center"/>
              <w:rPr>
                <w:lang w:val="en-CA"/>
              </w:rPr>
            </w:pPr>
            <w:r>
              <w:rPr>
                <w:lang w:val="en-CA"/>
              </w:rPr>
              <w:t>14</w:t>
            </w:r>
            <w:r w:rsidRPr="00C90D34">
              <w:rPr>
                <w:lang w:val="en-CA"/>
              </w:rPr>
              <w:t>%</w:t>
            </w:r>
          </w:p>
        </w:tc>
        <w:tc>
          <w:tcPr>
            <w:tcW w:w="1901" w:type="dxa"/>
            <w:tcBorders>
              <w:top w:val="single" w:sz="8" w:space="0" w:color="6E9400"/>
              <w:bottom w:val="single" w:sz="8" w:space="0" w:color="6E9400"/>
            </w:tcBorders>
          </w:tcPr>
          <w:p w14:paraId="5798A10B" w14:textId="1232A9D5" w:rsidR="00166662" w:rsidRPr="00C90D34" w:rsidRDefault="00166662" w:rsidP="00005966">
            <w:pPr>
              <w:spacing w:after="0"/>
              <w:jc w:val="center"/>
              <w:rPr>
                <w:lang w:val="en-CA"/>
              </w:rPr>
            </w:pPr>
            <w:r>
              <w:rPr>
                <w:lang w:val="en-CA"/>
              </w:rPr>
              <w:t>15%</w:t>
            </w:r>
          </w:p>
        </w:tc>
        <w:tc>
          <w:tcPr>
            <w:tcW w:w="1902" w:type="dxa"/>
            <w:tcBorders>
              <w:top w:val="single" w:sz="8" w:space="0" w:color="6E9400"/>
              <w:bottom w:val="single" w:sz="8" w:space="0" w:color="6E9400"/>
              <w:right w:val="single" w:sz="8" w:space="0" w:color="6E9400"/>
            </w:tcBorders>
          </w:tcPr>
          <w:p w14:paraId="156714AA" w14:textId="3786254B" w:rsidR="00166662" w:rsidRPr="00C90D34" w:rsidRDefault="00166662" w:rsidP="00005966">
            <w:pPr>
              <w:spacing w:after="0"/>
              <w:jc w:val="center"/>
              <w:rPr>
                <w:lang w:val="en-CA"/>
              </w:rPr>
            </w:pPr>
            <w:r>
              <w:rPr>
                <w:lang w:val="en-CA"/>
              </w:rPr>
              <w:t>13%</w:t>
            </w:r>
          </w:p>
        </w:tc>
      </w:tr>
      <w:tr w:rsidR="00166662" w:rsidRPr="00C90D34" w14:paraId="13D11E0C" w14:textId="77777777" w:rsidTr="00166662">
        <w:trPr>
          <w:jc w:val="center"/>
        </w:trPr>
        <w:tc>
          <w:tcPr>
            <w:tcW w:w="3500" w:type="dxa"/>
            <w:tcBorders>
              <w:top w:val="single" w:sz="8" w:space="0" w:color="6E9400"/>
              <w:left w:val="single" w:sz="8" w:space="0" w:color="6E9400"/>
              <w:bottom w:val="single" w:sz="8" w:space="0" w:color="6E9400"/>
            </w:tcBorders>
          </w:tcPr>
          <w:p w14:paraId="797C9820" w14:textId="57D91306" w:rsidR="00166662" w:rsidRDefault="00166662" w:rsidP="00005966">
            <w:pPr>
              <w:spacing w:after="0"/>
              <w:rPr>
                <w:bCs/>
                <w:lang w:val="en-CA"/>
              </w:rPr>
            </w:pPr>
            <w:r>
              <w:rPr>
                <w:bCs/>
                <w:lang w:val="en-CA"/>
              </w:rPr>
              <w:t>Business Failure</w:t>
            </w:r>
          </w:p>
        </w:tc>
        <w:tc>
          <w:tcPr>
            <w:tcW w:w="1901" w:type="dxa"/>
            <w:tcBorders>
              <w:top w:val="single" w:sz="8" w:space="0" w:color="6E9400"/>
              <w:bottom w:val="single" w:sz="8" w:space="0" w:color="6E9400"/>
            </w:tcBorders>
          </w:tcPr>
          <w:p w14:paraId="3BE4FC43" w14:textId="517293E1" w:rsidR="00166662" w:rsidRDefault="00166662" w:rsidP="00005966">
            <w:pPr>
              <w:spacing w:after="0"/>
              <w:jc w:val="center"/>
              <w:rPr>
                <w:lang w:val="en-CA"/>
              </w:rPr>
            </w:pPr>
            <w:r>
              <w:rPr>
                <w:lang w:val="en-CA"/>
              </w:rPr>
              <w:t>6%</w:t>
            </w:r>
          </w:p>
        </w:tc>
        <w:tc>
          <w:tcPr>
            <w:tcW w:w="1901" w:type="dxa"/>
            <w:tcBorders>
              <w:top w:val="single" w:sz="8" w:space="0" w:color="6E9400"/>
              <w:bottom w:val="single" w:sz="8" w:space="0" w:color="6E9400"/>
            </w:tcBorders>
          </w:tcPr>
          <w:p w14:paraId="5AAE5AE6" w14:textId="652B6EA5" w:rsidR="00166662" w:rsidRDefault="00166662" w:rsidP="00005966">
            <w:pPr>
              <w:spacing w:after="0"/>
              <w:jc w:val="center"/>
              <w:rPr>
                <w:lang w:val="en-CA"/>
              </w:rPr>
            </w:pPr>
            <w:r>
              <w:rPr>
                <w:lang w:val="en-CA"/>
              </w:rPr>
              <w:t>4%</w:t>
            </w:r>
          </w:p>
        </w:tc>
        <w:tc>
          <w:tcPr>
            <w:tcW w:w="1902" w:type="dxa"/>
            <w:tcBorders>
              <w:top w:val="single" w:sz="8" w:space="0" w:color="6E9400"/>
              <w:bottom w:val="single" w:sz="8" w:space="0" w:color="6E9400"/>
              <w:right w:val="single" w:sz="8" w:space="0" w:color="6E9400"/>
            </w:tcBorders>
          </w:tcPr>
          <w:p w14:paraId="6DE20B1C" w14:textId="408000F4" w:rsidR="00166662" w:rsidRDefault="00166662" w:rsidP="00005966">
            <w:pPr>
              <w:spacing w:after="0"/>
              <w:jc w:val="center"/>
              <w:rPr>
                <w:lang w:val="en-CA"/>
              </w:rPr>
            </w:pPr>
            <w:r>
              <w:rPr>
                <w:lang w:val="en-CA"/>
              </w:rPr>
              <w:t>5%</w:t>
            </w:r>
          </w:p>
        </w:tc>
      </w:tr>
      <w:tr w:rsidR="00166662" w:rsidRPr="00C90D34" w14:paraId="7ABA59DB" w14:textId="77777777" w:rsidTr="00166662">
        <w:trPr>
          <w:jc w:val="center"/>
        </w:trPr>
        <w:tc>
          <w:tcPr>
            <w:tcW w:w="3500" w:type="dxa"/>
            <w:tcBorders>
              <w:top w:val="single" w:sz="8" w:space="0" w:color="6E9400"/>
              <w:left w:val="single" w:sz="8" w:space="0" w:color="6E9400"/>
              <w:bottom w:val="single" w:sz="8" w:space="0" w:color="6E9400"/>
            </w:tcBorders>
          </w:tcPr>
          <w:p w14:paraId="1B20E32B" w14:textId="790F2D12" w:rsidR="00166662" w:rsidRDefault="00166662" w:rsidP="00005966">
            <w:pPr>
              <w:spacing w:after="0"/>
              <w:rPr>
                <w:bCs/>
                <w:lang w:val="en-CA"/>
              </w:rPr>
            </w:pPr>
            <w:r>
              <w:rPr>
                <w:bCs/>
                <w:lang w:val="en-CA"/>
              </w:rPr>
              <w:t>% employed</w:t>
            </w:r>
          </w:p>
        </w:tc>
        <w:tc>
          <w:tcPr>
            <w:tcW w:w="1901" w:type="dxa"/>
            <w:tcBorders>
              <w:top w:val="single" w:sz="8" w:space="0" w:color="6E9400"/>
              <w:bottom w:val="single" w:sz="8" w:space="0" w:color="6E9400"/>
            </w:tcBorders>
          </w:tcPr>
          <w:p w14:paraId="57B7AB88" w14:textId="61CBBA05" w:rsidR="00166662" w:rsidRDefault="00166662" w:rsidP="00005966">
            <w:pPr>
              <w:spacing w:after="0"/>
              <w:jc w:val="center"/>
              <w:rPr>
                <w:lang w:val="en-CA"/>
              </w:rPr>
            </w:pPr>
            <w:r>
              <w:rPr>
                <w:lang w:val="en-CA"/>
              </w:rPr>
              <w:t>78%</w:t>
            </w:r>
          </w:p>
        </w:tc>
        <w:tc>
          <w:tcPr>
            <w:tcW w:w="1901" w:type="dxa"/>
            <w:tcBorders>
              <w:top w:val="single" w:sz="8" w:space="0" w:color="6E9400"/>
              <w:bottom w:val="single" w:sz="8" w:space="0" w:color="6E9400"/>
            </w:tcBorders>
          </w:tcPr>
          <w:p w14:paraId="3C3C621D" w14:textId="1B1B0A3C" w:rsidR="00166662" w:rsidRDefault="00166662" w:rsidP="00005966">
            <w:pPr>
              <w:spacing w:after="0"/>
              <w:jc w:val="center"/>
              <w:rPr>
                <w:lang w:val="en-CA"/>
              </w:rPr>
            </w:pPr>
            <w:r>
              <w:rPr>
                <w:lang w:val="en-CA"/>
              </w:rPr>
              <w:t>79%</w:t>
            </w:r>
          </w:p>
        </w:tc>
        <w:tc>
          <w:tcPr>
            <w:tcW w:w="1902" w:type="dxa"/>
            <w:tcBorders>
              <w:top w:val="single" w:sz="8" w:space="0" w:color="6E9400"/>
              <w:bottom w:val="single" w:sz="8" w:space="0" w:color="6E9400"/>
              <w:right w:val="single" w:sz="8" w:space="0" w:color="6E9400"/>
            </w:tcBorders>
          </w:tcPr>
          <w:p w14:paraId="738CC6FA" w14:textId="1A1179E0" w:rsidR="00166662" w:rsidRDefault="00166662" w:rsidP="00005966">
            <w:pPr>
              <w:spacing w:after="0"/>
              <w:jc w:val="center"/>
              <w:rPr>
                <w:lang w:val="en-CA"/>
              </w:rPr>
            </w:pPr>
            <w:r>
              <w:rPr>
                <w:lang w:val="en-CA"/>
              </w:rPr>
              <w:t>81%</w:t>
            </w:r>
          </w:p>
        </w:tc>
      </w:tr>
    </w:tbl>
    <w:p w14:paraId="00C4CB04" w14:textId="77777777" w:rsidR="00166662" w:rsidRPr="00166662" w:rsidRDefault="00166662" w:rsidP="002A4AB5"/>
    <w:p w14:paraId="0EC97F92" w14:textId="787BEE3B" w:rsidR="00A7261E" w:rsidRPr="00166662" w:rsidRDefault="00B7297E" w:rsidP="00E27814">
      <w:pPr>
        <w:pStyle w:val="Heading1"/>
        <w:rPr>
          <w:lang w:val="fr-FR"/>
        </w:rPr>
      </w:pPr>
      <w:r w:rsidRPr="00166662">
        <w:rPr>
          <w:lang w:val="fr-FR"/>
        </w:rPr>
        <w:lastRenderedPageBreak/>
        <w:t>Conclusion</w:t>
      </w:r>
      <w:bookmarkEnd w:id="2"/>
    </w:p>
    <w:p w14:paraId="3A0AA8B0" w14:textId="53CA277A" w:rsidR="00267C33" w:rsidRDefault="00247471" w:rsidP="00267C33">
      <w:pPr>
        <w:rPr>
          <w:lang w:val="en-CA"/>
        </w:rPr>
      </w:pPr>
      <w:r w:rsidRPr="00247471">
        <w:t>Canadians have been addicted to debt for several years now. Since we began our bankruptcy study 8 years ago, total household credit has increased by 43%. Consumer debt, the types of loans dealt with through a consumer proposal or bankruptcy, rose 30% during this same period.</w:t>
      </w:r>
      <w:r w:rsidRPr="00247471">
        <w:rPr>
          <w:noProof/>
        </w:rPr>
        <w:t xml:space="preserve"> </w:t>
      </w:r>
      <w:r>
        <w:rPr>
          <w:noProof/>
        </w:rPr>
        <w:drawing>
          <wp:inline distT="0" distB="0" distL="0" distR="0" wp14:anchorId="590C1715" wp14:editId="3C02D5A0">
            <wp:extent cx="5755640" cy="35013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5640" cy="3501390"/>
                    </a:xfrm>
                    <a:prstGeom prst="rect">
                      <a:avLst/>
                    </a:prstGeom>
                  </pic:spPr>
                </pic:pic>
              </a:graphicData>
            </a:graphic>
          </wp:inline>
        </w:drawing>
      </w:r>
    </w:p>
    <w:p w14:paraId="45F6289A" w14:textId="77777777" w:rsidR="00267C33" w:rsidRDefault="00267C33" w:rsidP="00267C33">
      <w:pPr>
        <w:rPr>
          <w:lang w:val="en-CA"/>
        </w:rPr>
      </w:pPr>
      <w:r>
        <w:rPr>
          <w:lang w:val="en-CA"/>
        </w:rPr>
        <w:t>Source: Hoyes Michalos, Statistics Canada</w:t>
      </w:r>
    </w:p>
    <w:p w14:paraId="4B00BC16" w14:textId="77777777" w:rsidR="00247471" w:rsidRPr="00247471" w:rsidRDefault="00247471" w:rsidP="00247471">
      <w:r w:rsidRPr="00247471">
        <w:t>An extended period of low interest rates made all this debt affordable. Low rates provided a refuge against the economic consequences of all this debt. Delinquency rates remained low as did consumer insolvencies, until recently.</w:t>
      </w:r>
    </w:p>
    <w:p w14:paraId="763C73DA" w14:textId="77777777" w:rsidR="00247471" w:rsidRPr="00247471" w:rsidRDefault="00247471" w:rsidP="00247471">
      <w:r w:rsidRPr="00247471">
        <w:t>Since 2009, </w:t>
      </w:r>
      <w:hyperlink r:id="rId24" w:history="1">
        <w:r w:rsidRPr="00247471">
          <w:rPr>
            <w:rStyle w:val="Hyperlink"/>
          </w:rPr>
          <w:t>Ontario consumer insolvencies</w:t>
        </w:r>
      </w:hyperlink>
      <w:r w:rsidRPr="00247471">
        <w:t> were on a steady decline, until 2018. Ontario consumer insolvencies increased 1.8% in 2018, after 9 years of declines. Much of this growth came in the second half of the year, with the 3-month moving average increasing 8.2% by December 2018.</w:t>
      </w:r>
    </w:p>
    <w:p w14:paraId="4E3BB85B" w14:textId="2D275012" w:rsidR="00267C33" w:rsidRDefault="00247471" w:rsidP="00267C33">
      <w:pPr>
        <w:rPr>
          <w:lang w:val="en-CA"/>
        </w:rPr>
      </w:pPr>
      <w:r>
        <w:rPr>
          <w:noProof/>
        </w:rPr>
        <w:lastRenderedPageBreak/>
        <w:drawing>
          <wp:inline distT="0" distB="0" distL="0" distR="0" wp14:anchorId="5837872C" wp14:editId="72C4B201">
            <wp:extent cx="5755640" cy="3552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5640" cy="3552825"/>
                    </a:xfrm>
                    <a:prstGeom prst="rect">
                      <a:avLst/>
                    </a:prstGeom>
                  </pic:spPr>
                </pic:pic>
              </a:graphicData>
            </a:graphic>
          </wp:inline>
        </w:drawing>
      </w:r>
    </w:p>
    <w:p w14:paraId="641C672E" w14:textId="77777777" w:rsidR="00267C33" w:rsidRPr="00247471" w:rsidRDefault="00267C33" w:rsidP="00247471">
      <w:r w:rsidRPr="00247471">
        <w:t>Source: Hoyes Michalos, Office of the Superintendent of Bankruptcy</w:t>
      </w:r>
    </w:p>
    <w:p w14:paraId="466B1109" w14:textId="2B18B9A8" w:rsidR="00D31447" w:rsidRPr="00247471" w:rsidRDefault="00247471" w:rsidP="00247471">
      <w:r w:rsidRPr="00247471">
        <w:t>The growth in household debt is no longer sustainable. Fewer Canadian households will be able to withstand even the smallest change in economic circumstances. Further increases in interest rates combined with a tightening of credit or rise in unemployment will result in a significant increase in the insolvency rate in Ontario. If the downturn is severe, or prolonged, insolvencies could possibly reach levels beyond those seen in 2009.</w:t>
      </w:r>
    </w:p>
    <w:p w14:paraId="490CB3E8" w14:textId="699CFB8C" w:rsidR="00832493" w:rsidRPr="00C90D34" w:rsidRDefault="00D614C6">
      <w:pPr>
        <w:rPr>
          <w:lang w:val="en-CA"/>
        </w:rPr>
      </w:pPr>
      <w:r w:rsidRPr="00C90D34">
        <w:rPr>
          <w:lang w:val="en-CA"/>
        </w:rPr>
        <w:t>References</w:t>
      </w:r>
    </w:p>
    <w:p w14:paraId="36F35B61" w14:textId="77777777" w:rsidR="00247471" w:rsidRPr="00247471" w:rsidRDefault="00247471" w:rsidP="00247471">
      <w:pPr>
        <w:numPr>
          <w:ilvl w:val="0"/>
          <w:numId w:val="19"/>
        </w:numPr>
        <w:shd w:val="clear" w:color="auto" w:fill="FEFEFE"/>
        <w:spacing w:before="100" w:beforeAutospacing="1" w:after="100" w:afterAutospacing="1" w:line="240" w:lineRule="auto"/>
        <w:rPr>
          <w:rFonts w:ascii="Calibri" w:hAnsi="Calibri" w:cs="Calibri"/>
        </w:rPr>
      </w:pPr>
      <w:r w:rsidRPr="00247471">
        <w:rPr>
          <w:rFonts w:ascii="Calibri" w:hAnsi="Calibri" w:cs="Calibri"/>
        </w:rPr>
        <w:t>Generational age definitions for 2018 base Pew Research Centre </w:t>
      </w:r>
      <w:hyperlink r:id="rId26" w:history="1">
        <w:r w:rsidRPr="00247471">
          <w:rPr>
            <w:rStyle w:val="Hyperlink"/>
            <w:rFonts w:ascii="Calibri" w:hAnsi="Calibri" w:cs="Calibri"/>
            <w:color w:val="auto"/>
          </w:rPr>
          <w:t>http://www.pewresearch.org/fact-tank/2019/01/17/where-millennials-end-and-generation-z-begins/</w:t>
        </w:r>
      </w:hyperlink>
    </w:p>
    <w:p w14:paraId="31055741" w14:textId="77777777" w:rsidR="00247471" w:rsidRPr="00247471" w:rsidRDefault="00247471" w:rsidP="00247471">
      <w:pPr>
        <w:numPr>
          <w:ilvl w:val="0"/>
          <w:numId w:val="20"/>
        </w:numPr>
        <w:shd w:val="clear" w:color="auto" w:fill="FEFEFE"/>
        <w:spacing w:before="100" w:beforeAutospacing="1" w:after="100" w:afterAutospacing="1" w:line="240" w:lineRule="auto"/>
        <w:rPr>
          <w:rFonts w:ascii="Calibri" w:hAnsi="Calibri" w:cs="Calibri"/>
        </w:rPr>
      </w:pPr>
      <w:r w:rsidRPr="00247471">
        <w:rPr>
          <w:rFonts w:ascii="Calibri" w:hAnsi="Calibri" w:cs="Calibri"/>
        </w:rPr>
        <w:t>The Silent Generation: Born 1928-1945 (73-90 years old)</w:t>
      </w:r>
    </w:p>
    <w:p w14:paraId="34F1293D" w14:textId="77777777" w:rsidR="00247471" w:rsidRPr="00247471" w:rsidRDefault="00247471" w:rsidP="00247471">
      <w:pPr>
        <w:numPr>
          <w:ilvl w:val="0"/>
          <w:numId w:val="20"/>
        </w:numPr>
        <w:shd w:val="clear" w:color="auto" w:fill="FEFEFE"/>
        <w:spacing w:before="100" w:beforeAutospacing="1" w:after="100" w:afterAutospacing="1" w:line="240" w:lineRule="auto"/>
        <w:rPr>
          <w:rFonts w:ascii="Calibri" w:hAnsi="Calibri" w:cs="Calibri"/>
        </w:rPr>
      </w:pPr>
      <w:r w:rsidRPr="00247471">
        <w:rPr>
          <w:rFonts w:ascii="Calibri" w:hAnsi="Calibri" w:cs="Calibri"/>
        </w:rPr>
        <w:t>Baby Boomers: Born 1946-1964 (54-72 years old)</w:t>
      </w:r>
    </w:p>
    <w:p w14:paraId="22C7CDB9" w14:textId="77777777" w:rsidR="00247471" w:rsidRPr="00247471" w:rsidRDefault="00247471" w:rsidP="00247471">
      <w:pPr>
        <w:numPr>
          <w:ilvl w:val="0"/>
          <w:numId w:val="20"/>
        </w:numPr>
        <w:shd w:val="clear" w:color="auto" w:fill="FEFEFE"/>
        <w:spacing w:before="100" w:beforeAutospacing="1" w:after="100" w:afterAutospacing="1" w:line="240" w:lineRule="auto"/>
        <w:rPr>
          <w:rFonts w:ascii="Calibri" w:hAnsi="Calibri" w:cs="Calibri"/>
        </w:rPr>
      </w:pPr>
      <w:r w:rsidRPr="00247471">
        <w:rPr>
          <w:rFonts w:ascii="Calibri" w:hAnsi="Calibri" w:cs="Calibri"/>
        </w:rPr>
        <w:t>Generation X: Born 1965-1980 (38-53 years old)</w:t>
      </w:r>
    </w:p>
    <w:p w14:paraId="662BED66" w14:textId="77777777" w:rsidR="00247471" w:rsidRPr="00247471" w:rsidRDefault="00247471" w:rsidP="00247471">
      <w:pPr>
        <w:numPr>
          <w:ilvl w:val="0"/>
          <w:numId w:val="20"/>
        </w:numPr>
        <w:shd w:val="clear" w:color="auto" w:fill="FEFEFE"/>
        <w:spacing w:before="100" w:beforeAutospacing="1" w:after="100" w:afterAutospacing="1" w:line="240" w:lineRule="auto"/>
        <w:rPr>
          <w:rFonts w:ascii="Calibri" w:hAnsi="Calibri" w:cs="Calibri"/>
        </w:rPr>
      </w:pPr>
      <w:r w:rsidRPr="00247471">
        <w:rPr>
          <w:rFonts w:ascii="Calibri" w:hAnsi="Calibri" w:cs="Calibri"/>
        </w:rPr>
        <w:t>Millennials: Born 1981-1996 (22-37 years old)</w:t>
      </w:r>
    </w:p>
    <w:p w14:paraId="3E3F4EED" w14:textId="77777777" w:rsidR="00247471" w:rsidRPr="00247471" w:rsidRDefault="00247471" w:rsidP="00247471">
      <w:pPr>
        <w:numPr>
          <w:ilvl w:val="0"/>
          <w:numId w:val="20"/>
        </w:numPr>
        <w:shd w:val="clear" w:color="auto" w:fill="FEFEFE"/>
        <w:spacing w:before="100" w:beforeAutospacing="1" w:after="100" w:afterAutospacing="1" w:line="240" w:lineRule="auto"/>
        <w:rPr>
          <w:rFonts w:ascii="Calibri" w:hAnsi="Calibri" w:cs="Calibri"/>
        </w:rPr>
      </w:pPr>
      <w:r w:rsidRPr="00247471">
        <w:rPr>
          <w:rFonts w:ascii="Calibri" w:hAnsi="Calibri" w:cs="Calibri"/>
        </w:rPr>
        <w:t>Post-Millennials: Born 1997-Present (0-21 years old)</w:t>
      </w:r>
    </w:p>
    <w:p w14:paraId="1DC3B104" w14:textId="77777777" w:rsidR="00247471" w:rsidRPr="00247471" w:rsidRDefault="00247471" w:rsidP="00247471">
      <w:pPr>
        <w:numPr>
          <w:ilvl w:val="0"/>
          <w:numId w:val="21"/>
        </w:numPr>
        <w:shd w:val="clear" w:color="auto" w:fill="FEFEFE"/>
        <w:spacing w:before="100" w:beforeAutospacing="1" w:after="100" w:afterAutospacing="1" w:line="240" w:lineRule="auto"/>
        <w:rPr>
          <w:rFonts w:ascii="Calibri" w:hAnsi="Calibri" w:cs="Calibri"/>
        </w:rPr>
      </w:pPr>
      <w:r w:rsidRPr="00247471">
        <w:rPr>
          <w:rFonts w:ascii="Calibri" w:hAnsi="Calibri" w:cs="Calibri"/>
        </w:rPr>
        <w:t>Annual percentages extrapolated and calculated by Hoyes Michalos from data provided by Statistics Canada, Table: 14-10-0018-01 (formerly CANSIM 282-0002) </w:t>
      </w:r>
      <w:hyperlink r:id="rId27" w:history="1">
        <w:r w:rsidRPr="00247471">
          <w:rPr>
            <w:rStyle w:val="Hyperlink"/>
            <w:rFonts w:ascii="Calibri" w:hAnsi="Calibri" w:cs="Calibri"/>
            <w:color w:val="auto"/>
          </w:rPr>
          <w:t>https://www150.statcan.gc.ca/t1/tbl1/en/tv.action?pid=1410001801</w:t>
        </w:r>
      </w:hyperlink>
    </w:p>
    <w:p w14:paraId="776AB4E6" w14:textId="77777777" w:rsidR="00247471" w:rsidRPr="00247471" w:rsidRDefault="00247471" w:rsidP="00247471">
      <w:pPr>
        <w:numPr>
          <w:ilvl w:val="0"/>
          <w:numId w:val="21"/>
        </w:numPr>
        <w:shd w:val="clear" w:color="auto" w:fill="FEFEFE"/>
        <w:spacing w:before="100" w:beforeAutospacing="1" w:after="100" w:afterAutospacing="1" w:line="240" w:lineRule="auto"/>
        <w:rPr>
          <w:rFonts w:ascii="Calibri" w:hAnsi="Calibri" w:cs="Calibri"/>
        </w:rPr>
      </w:pPr>
      <w:r w:rsidRPr="00247471">
        <w:rPr>
          <w:rFonts w:ascii="Calibri" w:hAnsi="Calibri" w:cs="Calibri"/>
        </w:rPr>
        <w:t>What is the Maximum Amount of Interest I Can Be Charged in Ontario? </w:t>
      </w:r>
      <w:hyperlink r:id="rId28" w:history="1">
        <w:r w:rsidRPr="00247471">
          <w:rPr>
            <w:rStyle w:val="Hyperlink"/>
            <w:rFonts w:ascii="Calibri" w:hAnsi="Calibri" w:cs="Calibri"/>
            <w:color w:val="auto"/>
          </w:rPr>
          <w:t>https://www.hoyes.com/blog/what-is-the-maximum-amount-of-interest-i-can-be-charged-in-ontario/</w:t>
        </w:r>
      </w:hyperlink>
    </w:p>
    <w:p w14:paraId="53AAE293" w14:textId="77777777" w:rsidR="00247471" w:rsidRPr="00247471" w:rsidRDefault="00247471" w:rsidP="00247471">
      <w:pPr>
        <w:numPr>
          <w:ilvl w:val="0"/>
          <w:numId w:val="21"/>
        </w:numPr>
        <w:shd w:val="clear" w:color="auto" w:fill="FEFEFE"/>
        <w:spacing w:before="100" w:beforeAutospacing="1" w:after="100" w:afterAutospacing="1" w:line="240" w:lineRule="auto"/>
        <w:rPr>
          <w:rFonts w:ascii="Calibri" w:hAnsi="Calibri" w:cs="Calibri"/>
        </w:rPr>
      </w:pPr>
      <w:r w:rsidRPr="00247471">
        <w:rPr>
          <w:rFonts w:ascii="Calibri" w:hAnsi="Calibri" w:cs="Calibri"/>
        </w:rPr>
        <w:lastRenderedPageBreak/>
        <w:t>Debt Servicing Costs as calculated by Hoyes Michalos </w:t>
      </w:r>
    </w:p>
    <w:tbl>
      <w:tblPr>
        <w:tblW w:w="8505" w:type="dxa"/>
        <w:jc w:val="center"/>
        <w:tblBorders>
          <w:top w:val="single" w:sz="8" w:space="0" w:color="6E9400"/>
          <w:left w:val="single" w:sz="8" w:space="0" w:color="6E9400"/>
          <w:bottom w:val="single" w:sz="8" w:space="0" w:color="6E9400"/>
          <w:right w:val="single" w:sz="8" w:space="0" w:color="6E9400"/>
          <w:insideH w:val="single" w:sz="8" w:space="0" w:color="6E9400"/>
        </w:tblBorders>
        <w:tblLayout w:type="fixed"/>
        <w:tblCellMar>
          <w:left w:w="115" w:type="dxa"/>
          <w:right w:w="115" w:type="dxa"/>
        </w:tblCellMar>
        <w:tblLook w:val="00A0" w:firstRow="1" w:lastRow="0" w:firstColumn="1" w:lastColumn="0" w:noHBand="0" w:noVBand="0"/>
      </w:tblPr>
      <w:tblGrid>
        <w:gridCol w:w="3441"/>
        <w:gridCol w:w="1266"/>
        <w:gridCol w:w="1266"/>
        <w:gridCol w:w="1266"/>
        <w:gridCol w:w="1266"/>
      </w:tblGrid>
      <w:tr w:rsidR="00681E17" w:rsidRPr="00C90D34" w14:paraId="65B9070F" w14:textId="77777777" w:rsidTr="00505088">
        <w:trPr>
          <w:jc w:val="center"/>
        </w:trPr>
        <w:tc>
          <w:tcPr>
            <w:tcW w:w="3441" w:type="dxa"/>
            <w:tcBorders>
              <w:top w:val="single" w:sz="8" w:space="0" w:color="6E9400"/>
              <w:left w:val="single" w:sz="8" w:space="0" w:color="6E9400"/>
              <w:bottom w:val="single" w:sz="8" w:space="0" w:color="6E9400"/>
            </w:tcBorders>
            <w:shd w:val="clear" w:color="auto" w:fill="6E9400"/>
          </w:tcPr>
          <w:p w14:paraId="65C48312" w14:textId="77777777" w:rsidR="00681E17" w:rsidRPr="001E13C7" w:rsidRDefault="00681E17" w:rsidP="00C31847">
            <w:pPr>
              <w:spacing w:after="0"/>
              <w:rPr>
                <w:b/>
                <w:bCs/>
                <w:color w:val="FFFFFF"/>
                <w:lang w:val="en-CA"/>
              </w:rPr>
            </w:pPr>
            <w:r w:rsidRPr="001E13C7">
              <w:rPr>
                <w:b/>
                <w:bCs/>
                <w:color w:val="FFFFFF"/>
                <w:lang w:val="en-CA"/>
              </w:rPr>
              <w:t>Joe Debtor</w:t>
            </w:r>
          </w:p>
        </w:tc>
        <w:tc>
          <w:tcPr>
            <w:tcW w:w="1266" w:type="dxa"/>
            <w:tcBorders>
              <w:top w:val="single" w:sz="8" w:space="0" w:color="6E9400"/>
              <w:bottom w:val="single" w:sz="8" w:space="0" w:color="6E9400"/>
            </w:tcBorders>
            <w:shd w:val="clear" w:color="auto" w:fill="6E9400"/>
          </w:tcPr>
          <w:p w14:paraId="3EE53C08" w14:textId="2A18E2FE" w:rsidR="00681E17" w:rsidRPr="001E13C7" w:rsidRDefault="00681E17" w:rsidP="00C31847">
            <w:pPr>
              <w:spacing w:after="0"/>
              <w:jc w:val="center"/>
              <w:rPr>
                <w:b/>
                <w:bCs/>
                <w:color w:val="FFFFFF"/>
                <w:lang w:val="en-CA"/>
              </w:rPr>
            </w:pPr>
            <w:r>
              <w:rPr>
                <w:b/>
                <w:bCs/>
                <w:color w:val="FFFFFF"/>
                <w:lang w:val="en-CA"/>
              </w:rPr>
              <w:t xml:space="preserve">Millennials </w:t>
            </w:r>
            <w:r w:rsidRPr="001E13C7">
              <w:rPr>
                <w:b/>
                <w:bCs/>
                <w:color w:val="FFFFFF"/>
                <w:lang w:val="en-CA"/>
              </w:rPr>
              <w:t>Debt</w:t>
            </w:r>
          </w:p>
        </w:tc>
        <w:tc>
          <w:tcPr>
            <w:tcW w:w="1266" w:type="dxa"/>
            <w:tcBorders>
              <w:top w:val="single" w:sz="8" w:space="0" w:color="6E9400"/>
              <w:bottom w:val="single" w:sz="8" w:space="0" w:color="6E9400"/>
            </w:tcBorders>
            <w:shd w:val="clear" w:color="auto" w:fill="6E9400"/>
          </w:tcPr>
          <w:p w14:paraId="705CBC8A" w14:textId="26BB6632" w:rsidR="00681E17" w:rsidRPr="001E13C7" w:rsidRDefault="00681E17" w:rsidP="00C31847">
            <w:pPr>
              <w:spacing w:after="0"/>
              <w:jc w:val="center"/>
              <w:rPr>
                <w:b/>
                <w:bCs/>
                <w:color w:val="FFFFFF"/>
                <w:lang w:val="en-CA"/>
              </w:rPr>
            </w:pPr>
            <w:r>
              <w:rPr>
                <w:b/>
                <w:bCs/>
                <w:color w:val="FFFFFF"/>
                <w:lang w:val="en-CA"/>
              </w:rPr>
              <w:t>Interest Rate</w:t>
            </w:r>
          </w:p>
        </w:tc>
        <w:tc>
          <w:tcPr>
            <w:tcW w:w="1266" w:type="dxa"/>
            <w:tcBorders>
              <w:top w:val="single" w:sz="8" w:space="0" w:color="6E9400"/>
              <w:bottom w:val="single" w:sz="8" w:space="0" w:color="6E9400"/>
            </w:tcBorders>
            <w:shd w:val="clear" w:color="auto" w:fill="6E9400"/>
          </w:tcPr>
          <w:p w14:paraId="7FCBBBD5" w14:textId="22010E91" w:rsidR="00681E17" w:rsidRPr="001E13C7" w:rsidRDefault="00681E17" w:rsidP="00C31847">
            <w:pPr>
              <w:spacing w:after="0"/>
              <w:jc w:val="center"/>
              <w:rPr>
                <w:b/>
                <w:bCs/>
                <w:color w:val="FFFFFF"/>
                <w:lang w:val="en-CA"/>
              </w:rPr>
            </w:pPr>
            <w:r>
              <w:rPr>
                <w:b/>
                <w:bCs/>
                <w:color w:val="FFFFFF"/>
                <w:lang w:val="en-CA"/>
              </w:rPr>
              <w:t>Joe Debtor Debt</w:t>
            </w:r>
          </w:p>
        </w:tc>
        <w:tc>
          <w:tcPr>
            <w:tcW w:w="1266" w:type="dxa"/>
            <w:tcBorders>
              <w:top w:val="single" w:sz="8" w:space="0" w:color="6E9400"/>
              <w:bottom w:val="single" w:sz="8" w:space="0" w:color="6E9400"/>
              <w:right w:val="single" w:sz="8" w:space="0" w:color="6E9400"/>
            </w:tcBorders>
            <w:shd w:val="clear" w:color="auto" w:fill="6E9400"/>
          </w:tcPr>
          <w:p w14:paraId="7B3CC75C" w14:textId="739D978C" w:rsidR="00681E17" w:rsidRPr="001E13C7" w:rsidRDefault="00681E17" w:rsidP="00C31847">
            <w:pPr>
              <w:spacing w:after="0"/>
              <w:jc w:val="center"/>
              <w:rPr>
                <w:b/>
                <w:bCs/>
                <w:color w:val="FFFFFF"/>
                <w:lang w:val="en-CA"/>
              </w:rPr>
            </w:pPr>
            <w:r w:rsidRPr="001E13C7">
              <w:rPr>
                <w:b/>
                <w:bCs/>
                <w:color w:val="FFFFFF"/>
                <w:lang w:val="en-CA"/>
              </w:rPr>
              <w:t>Interest Rate</w:t>
            </w:r>
          </w:p>
        </w:tc>
      </w:tr>
      <w:tr w:rsidR="00505088" w:rsidRPr="00C90D34" w14:paraId="5E9ADFF0" w14:textId="77777777" w:rsidTr="00505088">
        <w:trPr>
          <w:jc w:val="center"/>
        </w:trPr>
        <w:tc>
          <w:tcPr>
            <w:tcW w:w="3441" w:type="dxa"/>
            <w:tcBorders>
              <w:top w:val="single" w:sz="8" w:space="0" w:color="6E9400"/>
              <w:left w:val="single" w:sz="8" w:space="0" w:color="6E9400"/>
              <w:bottom w:val="single" w:sz="8" w:space="0" w:color="6E9400"/>
            </w:tcBorders>
          </w:tcPr>
          <w:p w14:paraId="0650C75C" w14:textId="191A03FB" w:rsidR="00505088" w:rsidRPr="00C90D34" w:rsidRDefault="00505088" w:rsidP="00505088">
            <w:pPr>
              <w:spacing w:after="0"/>
              <w:rPr>
                <w:b/>
                <w:bCs/>
                <w:lang w:val="en-CA"/>
              </w:rPr>
            </w:pPr>
            <w:r w:rsidRPr="00C90D34">
              <w:rPr>
                <w:bCs/>
                <w:lang w:val="en-CA"/>
              </w:rPr>
              <w:t xml:space="preserve">Payday </w:t>
            </w:r>
            <w:proofErr w:type="spellStart"/>
            <w:r w:rsidRPr="00C90D34">
              <w:rPr>
                <w:bCs/>
                <w:lang w:val="en-CA"/>
              </w:rPr>
              <w:t>loans</w:t>
            </w:r>
            <w:r w:rsidRPr="005E3B71">
              <w:rPr>
                <w:bCs/>
                <w:vertAlign w:val="superscript"/>
                <w:lang w:val="en-CA"/>
              </w:rPr>
              <w:t>a</w:t>
            </w:r>
            <w:proofErr w:type="spellEnd"/>
          </w:p>
        </w:tc>
        <w:tc>
          <w:tcPr>
            <w:tcW w:w="1266" w:type="dxa"/>
            <w:tcBorders>
              <w:top w:val="single" w:sz="8" w:space="0" w:color="6E9400"/>
              <w:bottom w:val="single" w:sz="8" w:space="0" w:color="6E9400"/>
            </w:tcBorders>
          </w:tcPr>
          <w:p w14:paraId="63FCC007" w14:textId="767D55B6" w:rsidR="00505088" w:rsidRPr="00C90D34" w:rsidRDefault="00505088" w:rsidP="00505088">
            <w:pPr>
              <w:spacing w:after="0"/>
              <w:jc w:val="center"/>
              <w:rPr>
                <w:lang w:val="en-CA"/>
              </w:rPr>
            </w:pPr>
            <w:r w:rsidRPr="00C90D34">
              <w:rPr>
                <w:lang w:val="en-CA"/>
              </w:rPr>
              <w:t>$</w:t>
            </w:r>
            <w:r>
              <w:rPr>
                <w:lang w:val="en-CA"/>
              </w:rPr>
              <w:t>2,184</w:t>
            </w:r>
          </w:p>
        </w:tc>
        <w:tc>
          <w:tcPr>
            <w:tcW w:w="1266" w:type="dxa"/>
            <w:tcBorders>
              <w:top w:val="single" w:sz="8" w:space="0" w:color="6E9400"/>
              <w:bottom w:val="single" w:sz="8" w:space="0" w:color="6E9400"/>
            </w:tcBorders>
          </w:tcPr>
          <w:p w14:paraId="676FA1E3" w14:textId="4B971C55" w:rsidR="00505088" w:rsidRPr="00C90D34" w:rsidRDefault="00505088" w:rsidP="00505088">
            <w:pPr>
              <w:spacing w:after="0"/>
              <w:jc w:val="center"/>
              <w:rPr>
                <w:lang w:val="en-CA"/>
              </w:rPr>
            </w:pPr>
            <w:r>
              <w:rPr>
                <w:lang w:val="en-CA"/>
              </w:rPr>
              <w:t>347%</w:t>
            </w:r>
          </w:p>
        </w:tc>
        <w:tc>
          <w:tcPr>
            <w:tcW w:w="1266" w:type="dxa"/>
            <w:tcBorders>
              <w:top w:val="single" w:sz="8" w:space="0" w:color="6E9400"/>
              <w:bottom w:val="single" w:sz="8" w:space="0" w:color="6E9400"/>
            </w:tcBorders>
          </w:tcPr>
          <w:p w14:paraId="6B9789A6" w14:textId="7C7FD049" w:rsidR="00505088" w:rsidRPr="00C90D34" w:rsidRDefault="00505088" w:rsidP="00505088">
            <w:pPr>
              <w:spacing w:after="0"/>
              <w:jc w:val="center"/>
              <w:rPr>
                <w:lang w:val="en-CA"/>
              </w:rPr>
            </w:pPr>
            <w:r>
              <w:rPr>
                <w:lang w:val="en-CA"/>
              </w:rPr>
              <w:t>$1,919</w:t>
            </w:r>
          </w:p>
        </w:tc>
        <w:tc>
          <w:tcPr>
            <w:tcW w:w="1266" w:type="dxa"/>
            <w:tcBorders>
              <w:top w:val="single" w:sz="8" w:space="0" w:color="6E9400"/>
              <w:bottom w:val="single" w:sz="8" w:space="0" w:color="6E9400"/>
              <w:right w:val="single" w:sz="8" w:space="0" w:color="6E9400"/>
            </w:tcBorders>
          </w:tcPr>
          <w:p w14:paraId="725FC1CE" w14:textId="60EFF496" w:rsidR="00505088" w:rsidRPr="00C90D34" w:rsidRDefault="00505088" w:rsidP="00505088">
            <w:pPr>
              <w:spacing w:after="0"/>
              <w:jc w:val="center"/>
              <w:rPr>
                <w:lang w:val="en-CA"/>
              </w:rPr>
            </w:pPr>
            <w:r>
              <w:rPr>
                <w:lang w:val="en-CA"/>
              </w:rPr>
              <w:t>340%</w:t>
            </w:r>
          </w:p>
        </w:tc>
      </w:tr>
      <w:tr w:rsidR="00505088" w:rsidRPr="00C90D34" w14:paraId="78EE5D3A" w14:textId="77777777" w:rsidTr="00505088">
        <w:trPr>
          <w:jc w:val="center"/>
        </w:trPr>
        <w:tc>
          <w:tcPr>
            <w:tcW w:w="3441" w:type="dxa"/>
            <w:tcBorders>
              <w:top w:val="single" w:sz="8" w:space="0" w:color="6E9400"/>
              <w:left w:val="single" w:sz="8" w:space="0" w:color="6E9400"/>
              <w:bottom w:val="single" w:sz="8" w:space="0" w:color="6E9400"/>
            </w:tcBorders>
          </w:tcPr>
          <w:p w14:paraId="768DEDCD" w14:textId="77777777" w:rsidR="00505088" w:rsidRPr="00C90D34" w:rsidRDefault="00505088" w:rsidP="00505088">
            <w:pPr>
              <w:spacing w:after="0"/>
              <w:rPr>
                <w:b/>
                <w:bCs/>
                <w:lang w:val="en-CA"/>
              </w:rPr>
            </w:pPr>
            <w:r w:rsidRPr="00C90D34">
              <w:rPr>
                <w:bCs/>
                <w:lang w:val="en-CA"/>
              </w:rPr>
              <w:t>Other personal loans</w:t>
            </w:r>
          </w:p>
        </w:tc>
        <w:tc>
          <w:tcPr>
            <w:tcW w:w="1266" w:type="dxa"/>
            <w:tcBorders>
              <w:top w:val="single" w:sz="8" w:space="0" w:color="6E9400"/>
              <w:bottom w:val="single" w:sz="8" w:space="0" w:color="6E9400"/>
            </w:tcBorders>
          </w:tcPr>
          <w:p w14:paraId="3DE8B5BA" w14:textId="153DD405" w:rsidR="00505088" w:rsidRPr="00C90D34" w:rsidRDefault="00505088" w:rsidP="00505088">
            <w:pPr>
              <w:spacing w:after="0"/>
              <w:jc w:val="center"/>
              <w:rPr>
                <w:lang w:val="en-CA"/>
              </w:rPr>
            </w:pPr>
            <w:r w:rsidRPr="00C90D34">
              <w:rPr>
                <w:lang w:val="en-CA"/>
              </w:rPr>
              <w:t>$</w:t>
            </w:r>
            <w:r>
              <w:rPr>
                <w:lang w:val="en-CA"/>
              </w:rPr>
              <w:t>12,186</w:t>
            </w:r>
          </w:p>
        </w:tc>
        <w:tc>
          <w:tcPr>
            <w:tcW w:w="1266" w:type="dxa"/>
            <w:tcBorders>
              <w:top w:val="single" w:sz="8" w:space="0" w:color="6E9400"/>
              <w:bottom w:val="single" w:sz="8" w:space="0" w:color="6E9400"/>
            </w:tcBorders>
          </w:tcPr>
          <w:p w14:paraId="3D5E5974" w14:textId="622A9C5D" w:rsidR="00505088" w:rsidRPr="00C90D34" w:rsidRDefault="00505088" w:rsidP="00505088">
            <w:pPr>
              <w:spacing w:after="0"/>
              <w:jc w:val="center"/>
              <w:rPr>
                <w:lang w:val="en-CA"/>
              </w:rPr>
            </w:pPr>
            <w:r>
              <w:rPr>
                <w:lang w:val="en-CA"/>
              </w:rPr>
              <w:t>13%</w:t>
            </w:r>
          </w:p>
        </w:tc>
        <w:tc>
          <w:tcPr>
            <w:tcW w:w="1266" w:type="dxa"/>
            <w:tcBorders>
              <w:top w:val="single" w:sz="8" w:space="0" w:color="6E9400"/>
              <w:bottom w:val="single" w:sz="8" w:space="0" w:color="6E9400"/>
            </w:tcBorders>
          </w:tcPr>
          <w:p w14:paraId="43A05406" w14:textId="1CD41DC6" w:rsidR="00505088" w:rsidRPr="00C90D34" w:rsidRDefault="00505088" w:rsidP="00505088">
            <w:pPr>
              <w:spacing w:after="0"/>
              <w:jc w:val="center"/>
              <w:rPr>
                <w:lang w:val="en-CA"/>
              </w:rPr>
            </w:pPr>
            <w:r>
              <w:rPr>
                <w:lang w:val="en-CA"/>
              </w:rPr>
              <w:t>$15,025</w:t>
            </w:r>
          </w:p>
        </w:tc>
        <w:tc>
          <w:tcPr>
            <w:tcW w:w="1266" w:type="dxa"/>
            <w:tcBorders>
              <w:top w:val="single" w:sz="8" w:space="0" w:color="6E9400"/>
              <w:bottom w:val="single" w:sz="8" w:space="0" w:color="6E9400"/>
              <w:right w:val="single" w:sz="8" w:space="0" w:color="6E9400"/>
            </w:tcBorders>
          </w:tcPr>
          <w:p w14:paraId="23907BE9" w14:textId="50403858" w:rsidR="00505088" w:rsidRPr="00C90D34" w:rsidRDefault="00505088" w:rsidP="00505088">
            <w:pPr>
              <w:spacing w:after="0"/>
              <w:jc w:val="center"/>
              <w:rPr>
                <w:lang w:val="en-CA"/>
              </w:rPr>
            </w:pPr>
            <w:r>
              <w:rPr>
                <w:lang w:val="en-CA"/>
              </w:rPr>
              <w:t>13%</w:t>
            </w:r>
          </w:p>
        </w:tc>
      </w:tr>
      <w:tr w:rsidR="00505088" w:rsidRPr="00C90D34" w14:paraId="56A6E82D" w14:textId="77777777" w:rsidTr="00505088">
        <w:trPr>
          <w:jc w:val="center"/>
        </w:trPr>
        <w:tc>
          <w:tcPr>
            <w:tcW w:w="3441" w:type="dxa"/>
            <w:tcBorders>
              <w:top w:val="single" w:sz="8" w:space="0" w:color="6E9400"/>
              <w:left w:val="single" w:sz="8" w:space="0" w:color="6E9400"/>
              <w:bottom w:val="single" w:sz="8" w:space="0" w:color="6E9400"/>
            </w:tcBorders>
          </w:tcPr>
          <w:p w14:paraId="6B7B7420" w14:textId="77777777" w:rsidR="00505088" w:rsidRPr="00C90D34" w:rsidRDefault="00505088" w:rsidP="00505088">
            <w:pPr>
              <w:spacing w:after="0"/>
              <w:rPr>
                <w:bCs/>
                <w:lang w:val="en-CA"/>
              </w:rPr>
            </w:pPr>
            <w:r w:rsidRPr="00C90D34">
              <w:rPr>
                <w:bCs/>
                <w:lang w:val="en-CA"/>
              </w:rPr>
              <w:t>Credit card debt</w:t>
            </w:r>
          </w:p>
        </w:tc>
        <w:tc>
          <w:tcPr>
            <w:tcW w:w="1266" w:type="dxa"/>
            <w:tcBorders>
              <w:top w:val="single" w:sz="8" w:space="0" w:color="6E9400"/>
              <w:bottom w:val="single" w:sz="8" w:space="0" w:color="6E9400"/>
            </w:tcBorders>
          </w:tcPr>
          <w:p w14:paraId="7A22EBC7" w14:textId="7D69D02B" w:rsidR="00505088" w:rsidRPr="00C90D34" w:rsidRDefault="00505088" w:rsidP="00505088">
            <w:pPr>
              <w:spacing w:after="0"/>
              <w:jc w:val="center"/>
              <w:rPr>
                <w:lang w:val="en-CA"/>
              </w:rPr>
            </w:pPr>
            <w:r w:rsidRPr="00C90D34">
              <w:rPr>
                <w:lang w:val="en-CA"/>
              </w:rPr>
              <w:t>$</w:t>
            </w:r>
            <w:r>
              <w:rPr>
                <w:lang w:val="en-CA"/>
              </w:rPr>
              <w:t>10,365</w:t>
            </w:r>
          </w:p>
        </w:tc>
        <w:tc>
          <w:tcPr>
            <w:tcW w:w="1266" w:type="dxa"/>
            <w:tcBorders>
              <w:top w:val="single" w:sz="8" w:space="0" w:color="6E9400"/>
              <w:bottom w:val="single" w:sz="8" w:space="0" w:color="6E9400"/>
            </w:tcBorders>
          </w:tcPr>
          <w:p w14:paraId="2CCA809C" w14:textId="77608D68" w:rsidR="00505088" w:rsidRPr="00C90D34" w:rsidRDefault="00505088" w:rsidP="00505088">
            <w:pPr>
              <w:spacing w:after="0"/>
              <w:jc w:val="center"/>
              <w:rPr>
                <w:lang w:val="en-CA"/>
              </w:rPr>
            </w:pPr>
            <w:r>
              <w:rPr>
                <w:lang w:val="en-CA"/>
              </w:rPr>
              <w:t>19%</w:t>
            </w:r>
          </w:p>
        </w:tc>
        <w:tc>
          <w:tcPr>
            <w:tcW w:w="1266" w:type="dxa"/>
            <w:tcBorders>
              <w:top w:val="single" w:sz="8" w:space="0" w:color="6E9400"/>
              <w:bottom w:val="single" w:sz="8" w:space="0" w:color="6E9400"/>
            </w:tcBorders>
          </w:tcPr>
          <w:p w14:paraId="1C8F0433" w14:textId="05947AA9" w:rsidR="00505088" w:rsidRPr="00C90D34" w:rsidRDefault="00505088" w:rsidP="00505088">
            <w:pPr>
              <w:spacing w:after="0"/>
              <w:jc w:val="center"/>
              <w:rPr>
                <w:lang w:val="en-CA"/>
              </w:rPr>
            </w:pPr>
            <w:r>
              <w:rPr>
                <w:lang w:val="en-CA"/>
              </w:rPr>
              <w:t>$15,905</w:t>
            </w:r>
          </w:p>
        </w:tc>
        <w:tc>
          <w:tcPr>
            <w:tcW w:w="1266" w:type="dxa"/>
            <w:tcBorders>
              <w:top w:val="single" w:sz="8" w:space="0" w:color="6E9400"/>
              <w:bottom w:val="single" w:sz="8" w:space="0" w:color="6E9400"/>
              <w:right w:val="single" w:sz="8" w:space="0" w:color="6E9400"/>
            </w:tcBorders>
          </w:tcPr>
          <w:p w14:paraId="28BC30BF" w14:textId="04BDF3BF" w:rsidR="00505088" w:rsidRPr="00C90D34" w:rsidRDefault="00505088" w:rsidP="00505088">
            <w:pPr>
              <w:spacing w:after="0"/>
              <w:jc w:val="center"/>
              <w:rPr>
                <w:lang w:val="en-CA"/>
              </w:rPr>
            </w:pPr>
            <w:r>
              <w:rPr>
                <w:lang w:val="en-CA"/>
              </w:rPr>
              <w:t>19%</w:t>
            </w:r>
          </w:p>
        </w:tc>
      </w:tr>
      <w:tr w:rsidR="00505088" w:rsidRPr="00C90D34" w14:paraId="5DE345E2" w14:textId="77777777" w:rsidTr="00505088">
        <w:trPr>
          <w:jc w:val="center"/>
        </w:trPr>
        <w:tc>
          <w:tcPr>
            <w:tcW w:w="3441" w:type="dxa"/>
            <w:tcBorders>
              <w:top w:val="single" w:sz="8" w:space="0" w:color="6E9400"/>
              <w:left w:val="single" w:sz="8" w:space="0" w:color="6E9400"/>
              <w:bottom w:val="single" w:sz="8" w:space="0" w:color="6E9400"/>
            </w:tcBorders>
          </w:tcPr>
          <w:p w14:paraId="5C25E98D" w14:textId="77777777" w:rsidR="00505088" w:rsidRPr="00C90D34" w:rsidRDefault="00505088" w:rsidP="00505088">
            <w:pPr>
              <w:spacing w:after="0"/>
              <w:rPr>
                <w:b/>
                <w:bCs/>
                <w:lang w:val="en-CA"/>
              </w:rPr>
            </w:pPr>
            <w:r w:rsidRPr="00C90D34">
              <w:rPr>
                <w:bCs/>
                <w:lang w:val="en-CA"/>
              </w:rPr>
              <w:t>Taxes</w:t>
            </w:r>
          </w:p>
        </w:tc>
        <w:tc>
          <w:tcPr>
            <w:tcW w:w="1266" w:type="dxa"/>
            <w:tcBorders>
              <w:top w:val="single" w:sz="8" w:space="0" w:color="6E9400"/>
              <w:bottom w:val="single" w:sz="8" w:space="0" w:color="6E9400"/>
            </w:tcBorders>
          </w:tcPr>
          <w:p w14:paraId="357DB2F2" w14:textId="73AF4D9A" w:rsidR="00505088" w:rsidRPr="00C90D34" w:rsidRDefault="00505088" w:rsidP="00505088">
            <w:pPr>
              <w:spacing w:after="0"/>
              <w:jc w:val="center"/>
              <w:rPr>
                <w:lang w:val="en-CA"/>
              </w:rPr>
            </w:pPr>
            <w:r w:rsidRPr="00C90D34">
              <w:rPr>
                <w:lang w:val="en-CA"/>
              </w:rPr>
              <w:t>$</w:t>
            </w:r>
            <w:r>
              <w:rPr>
                <w:lang w:val="en-CA"/>
              </w:rPr>
              <w:t>3,480</w:t>
            </w:r>
          </w:p>
        </w:tc>
        <w:tc>
          <w:tcPr>
            <w:tcW w:w="1266" w:type="dxa"/>
            <w:tcBorders>
              <w:top w:val="single" w:sz="8" w:space="0" w:color="6E9400"/>
              <w:bottom w:val="single" w:sz="8" w:space="0" w:color="6E9400"/>
            </w:tcBorders>
          </w:tcPr>
          <w:p w14:paraId="03896396" w14:textId="65673039" w:rsidR="00505088" w:rsidRPr="00C90D34" w:rsidRDefault="00505088" w:rsidP="00505088">
            <w:pPr>
              <w:spacing w:after="0"/>
              <w:jc w:val="center"/>
              <w:rPr>
                <w:lang w:val="en-CA"/>
              </w:rPr>
            </w:pPr>
            <w:r>
              <w:rPr>
                <w:lang w:val="en-CA"/>
              </w:rPr>
              <w:t>5%</w:t>
            </w:r>
          </w:p>
        </w:tc>
        <w:tc>
          <w:tcPr>
            <w:tcW w:w="1266" w:type="dxa"/>
            <w:tcBorders>
              <w:top w:val="single" w:sz="8" w:space="0" w:color="6E9400"/>
              <w:bottom w:val="single" w:sz="8" w:space="0" w:color="6E9400"/>
            </w:tcBorders>
          </w:tcPr>
          <w:p w14:paraId="744099B9" w14:textId="3A9AF0B3" w:rsidR="00505088" w:rsidRPr="00C90D34" w:rsidRDefault="00505088" w:rsidP="00505088">
            <w:pPr>
              <w:spacing w:after="0"/>
              <w:jc w:val="center"/>
              <w:rPr>
                <w:lang w:val="en-CA"/>
              </w:rPr>
            </w:pPr>
            <w:r>
              <w:rPr>
                <w:lang w:val="en-CA"/>
              </w:rPr>
              <w:t>$8,835</w:t>
            </w:r>
          </w:p>
        </w:tc>
        <w:tc>
          <w:tcPr>
            <w:tcW w:w="1266" w:type="dxa"/>
            <w:tcBorders>
              <w:top w:val="single" w:sz="8" w:space="0" w:color="6E9400"/>
              <w:bottom w:val="single" w:sz="8" w:space="0" w:color="6E9400"/>
              <w:right w:val="single" w:sz="8" w:space="0" w:color="6E9400"/>
            </w:tcBorders>
          </w:tcPr>
          <w:p w14:paraId="3246B6E5" w14:textId="5D382CD8" w:rsidR="00505088" w:rsidRPr="00C90D34" w:rsidRDefault="00505088" w:rsidP="00505088">
            <w:pPr>
              <w:spacing w:after="0"/>
              <w:jc w:val="center"/>
              <w:rPr>
                <w:lang w:val="en-CA"/>
              </w:rPr>
            </w:pPr>
            <w:r>
              <w:rPr>
                <w:lang w:val="en-CA"/>
              </w:rPr>
              <w:t>5%</w:t>
            </w:r>
          </w:p>
        </w:tc>
      </w:tr>
      <w:tr w:rsidR="00505088" w:rsidRPr="00C90D34" w14:paraId="07E4B09B" w14:textId="77777777" w:rsidTr="00505088">
        <w:trPr>
          <w:jc w:val="center"/>
        </w:trPr>
        <w:tc>
          <w:tcPr>
            <w:tcW w:w="3441" w:type="dxa"/>
            <w:tcBorders>
              <w:top w:val="single" w:sz="8" w:space="0" w:color="6E9400"/>
              <w:left w:val="single" w:sz="8" w:space="0" w:color="6E9400"/>
              <w:bottom w:val="single" w:sz="8" w:space="0" w:color="6E9400"/>
            </w:tcBorders>
          </w:tcPr>
          <w:p w14:paraId="72FCCF02" w14:textId="77777777" w:rsidR="00505088" w:rsidRPr="00C90D34" w:rsidRDefault="00505088" w:rsidP="00505088">
            <w:pPr>
              <w:spacing w:after="0"/>
              <w:rPr>
                <w:bCs/>
                <w:lang w:val="en-CA"/>
              </w:rPr>
            </w:pPr>
            <w:r w:rsidRPr="00C90D34">
              <w:rPr>
                <w:bCs/>
                <w:lang w:val="en-CA"/>
              </w:rPr>
              <w:t>Student loans</w:t>
            </w:r>
          </w:p>
        </w:tc>
        <w:tc>
          <w:tcPr>
            <w:tcW w:w="1266" w:type="dxa"/>
            <w:tcBorders>
              <w:top w:val="single" w:sz="8" w:space="0" w:color="6E9400"/>
              <w:bottom w:val="single" w:sz="8" w:space="0" w:color="6E9400"/>
            </w:tcBorders>
          </w:tcPr>
          <w:p w14:paraId="679E6CBF" w14:textId="1558D807" w:rsidR="00505088" w:rsidRPr="00C90D34" w:rsidRDefault="00505088" w:rsidP="00505088">
            <w:pPr>
              <w:spacing w:after="0"/>
              <w:jc w:val="center"/>
              <w:rPr>
                <w:lang w:val="en-CA"/>
              </w:rPr>
            </w:pPr>
            <w:r w:rsidRPr="00C90D34">
              <w:rPr>
                <w:lang w:val="en-CA"/>
              </w:rPr>
              <w:t>$</w:t>
            </w:r>
            <w:r>
              <w:rPr>
                <w:lang w:val="en-CA"/>
              </w:rPr>
              <w:t>4,369</w:t>
            </w:r>
          </w:p>
        </w:tc>
        <w:tc>
          <w:tcPr>
            <w:tcW w:w="1266" w:type="dxa"/>
            <w:tcBorders>
              <w:top w:val="single" w:sz="8" w:space="0" w:color="6E9400"/>
              <w:bottom w:val="single" w:sz="8" w:space="0" w:color="6E9400"/>
            </w:tcBorders>
          </w:tcPr>
          <w:p w14:paraId="3F472AAA" w14:textId="40C2B084" w:rsidR="00505088" w:rsidRPr="00C90D34" w:rsidRDefault="00505088" w:rsidP="00505088">
            <w:pPr>
              <w:spacing w:after="0"/>
              <w:jc w:val="center"/>
              <w:rPr>
                <w:lang w:val="en-CA"/>
              </w:rPr>
            </w:pPr>
            <w:r>
              <w:rPr>
                <w:lang w:val="en-CA"/>
              </w:rPr>
              <w:t>7%</w:t>
            </w:r>
          </w:p>
        </w:tc>
        <w:tc>
          <w:tcPr>
            <w:tcW w:w="1266" w:type="dxa"/>
            <w:tcBorders>
              <w:top w:val="single" w:sz="8" w:space="0" w:color="6E9400"/>
              <w:bottom w:val="single" w:sz="8" w:space="0" w:color="6E9400"/>
            </w:tcBorders>
          </w:tcPr>
          <w:p w14:paraId="216736C6" w14:textId="48C66B58" w:rsidR="00505088" w:rsidRPr="00C90D34" w:rsidRDefault="00505088" w:rsidP="00505088">
            <w:pPr>
              <w:spacing w:after="0"/>
              <w:jc w:val="center"/>
              <w:rPr>
                <w:lang w:val="en-CA"/>
              </w:rPr>
            </w:pPr>
            <w:r>
              <w:rPr>
                <w:lang w:val="en-CA"/>
              </w:rPr>
              <w:t>$2,597</w:t>
            </w:r>
          </w:p>
        </w:tc>
        <w:tc>
          <w:tcPr>
            <w:tcW w:w="1266" w:type="dxa"/>
            <w:tcBorders>
              <w:top w:val="single" w:sz="8" w:space="0" w:color="6E9400"/>
              <w:bottom w:val="single" w:sz="8" w:space="0" w:color="6E9400"/>
              <w:right w:val="single" w:sz="8" w:space="0" w:color="6E9400"/>
            </w:tcBorders>
          </w:tcPr>
          <w:p w14:paraId="43BEC051" w14:textId="3188C88D" w:rsidR="00505088" w:rsidRPr="00C90D34" w:rsidRDefault="00505088" w:rsidP="00505088">
            <w:pPr>
              <w:spacing w:after="0"/>
              <w:jc w:val="center"/>
              <w:rPr>
                <w:lang w:val="en-CA"/>
              </w:rPr>
            </w:pPr>
            <w:r>
              <w:rPr>
                <w:lang w:val="en-CA"/>
              </w:rPr>
              <w:t>7%</w:t>
            </w:r>
          </w:p>
        </w:tc>
      </w:tr>
      <w:tr w:rsidR="00505088" w:rsidRPr="00C90D34" w14:paraId="648B01DA" w14:textId="77777777" w:rsidTr="00505088">
        <w:trPr>
          <w:jc w:val="center"/>
        </w:trPr>
        <w:tc>
          <w:tcPr>
            <w:tcW w:w="3441" w:type="dxa"/>
            <w:tcBorders>
              <w:top w:val="single" w:sz="8" w:space="0" w:color="6E9400"/>
              <w:left w:val="single" w:sz="8" w:space="0" w:color="6E9400"/>
              <w:bottom w:val="single" w:sz="8" w:space="0" w:color="6E9400"/>
            </w:tcBorders>
          </w:tcPr>
          <w:p w14:paraId="6B57E13B" w14:textId="77777777" w:rsidR="00505088" w:rsidRPr="00C90D34" w:rsidRDefault="00505088" w:rsidP="00505088">
            <w:pPr>
              <w:spacing w:after="0"/>
              <w:rPr>
                <w:bCs/>
                <w:lang w:val="en-CA"/>
              </w:rPr>
            </w:pPr>
            <w:r w:rsidRPr="00C90D34">
              <w:rPr>
                <w:bCs/>
                <w:lang w:val="en-CA"/>
              </w:rPr>
              <w:t>Other debts</w:t>
            </w:r>
          </w:p>
        </w:tc>
        <w:tc>
          <w:tcPr>
            <w:tcW w:w="1266" w:type="dxa"/>
            <w:tcBorders>
              <w:top w:val="single" w:sz="8" w:space="0" w:color="6E9400"/>
              <w:bottom w:val="single" w:sz="8" w:space="0" w:color="6E9400"/>
            </w:tcBorders>
          </w:tcPr>
          <w:p w14:paraId="256873BF" w14:textId="3E0C5338" w:rsidR="00505088" w:rsidRPr="00C90D34" w:rsidRDefault="00505088" w:rsidP="00505088">
            <w:pPr>
              <w:spacing w:after="0"/>
              <w:jc w:val="center"/>
              <w:rPr>
                <w:lang w:val="en-CA"/>
              </w:rPr>
            </w:pPr>
            <w:r w:rsidRPr="00C90D34">
              <w:rPr>
                <w:lang w:val="en-CA"/>
              </w:rPr>
              <w:t>$</w:t>
            </w:r>
            <w:r>
              <w:rPr>
                <w:lang w:val="en-CA"/>
              </w:rPr>
              <w:t>3,149</w:t>
            </w:r>
          </w:p>
        </w:tc>
        <w:tc>
          <w:tcPr>
            <w:tcW w:w="1266" w:type="dxa"/>
            <w:tcBorders>
              <w:top w:val="single" w:sz="8" w:space="0" w:color="6E9400"/>
              <w:bottom w:val="single" w:sz="8" w:space="0" w:color="6E9400"/>
            </w:tcBorders>
          </w:tcPr>
          <w:p w14:paraId="392C8A45" w14:textId="688798A5" w:rsidR="00505088" w:rsidRPr="00C90D34" w:rsidRDefault="00505088" w:rsidP="00505088">
            <w:pPr>
              <w:spacing w:after="0"/>
              <w:jc w:val="center"/>
              <w:rPr>
                <w:lang w:val="en-CA"/>
              </w:rPr>
            </w:pPr>
            <w:r>
              <w:rPr>
                <w:lang w:val="en-CA"/>
              </w:rPr>
              <w:t>25%</w:t>
            </w:r>
          </w:p>
        </w:tc>
        <w:tc>
          <w:tcPr>
            <w:tcW w:w="1266" w:type="dxa"/>
            <w:tcBorders>
              <w:top w:val="single" w:sz="8" w:space="0" w:color="6E9400"/>
              <w:bottom w:val="single" w:sz="8" w:space="0" w:color="6E9400"/>
            </w:tcBorders>
          </w:tcPr>
          <w:p w14:paraId="7F6D57CE" w14:textId="53FEAB1E" w:rsidR="00505088" w:rsidRPr="00C90D34" w:rsidRDefault="00505088" w:rsidP="00505088">
            <w:pPr>
              <w:spacing w:after="0"/>
              <w:jc w:val="center"/>
              <w:rPr>
                <w:lang w:val="en-CA"/>
              </w:rPr>
            </w:pPr>
            <w:r>
              <w:rPr>
                <w:lang w:val="en-CA"/>
              </w:rPr>
              <w:t>$5,008</w:t>
            </w:r>
          </w:p>
        </w:tc>
        <w:tc>
          <w:tcPr>
            <w:tcW w:w="1266" w:type="dxa"/>
            <w:tcBorders>
              <w:top w:val="single" w:sz="8" w:space="0" w:color="6E9400"/>
              <w:bottom w:val="single" w:sz="8" w:space="0" w:color="6E9400"/>
              <w:right w:val="single" w:sz="8" w:space="0" w:color="6E9400"/>
            </w:tcBorders>
          </w:tcPr>
          <w:p w14:paraId="332D1BA9" w14:textId="154CC150" w:rsidR="00505088" w:rsidRPr="00C90D34" w:rsidRDefault="00505088" w:rsidP="00505088">
            <w:pPr>
              <w:spacing w:after="0"/>
              <w:jc w:val="center"/>
              <w:rPr>
                <w:lang w:val="en-CA"/>
              </w:rPr>
            </w:pPr>
            <w:r>
              <w:rPr>
                <w:lang w:val="en-CA"/>
              </w:rPr>
              <w:t>25%</w:t>
            </w:r>
          </w:p>
        </w:tc>
      </w:tr>
      <w:tr w:rsidR="00505088" w:rsidRPr="00C90D34" w14:paraId="57E7785B" w14:textId="77777777" w:rsidTr="00505088">
        <w:trPr>
          <w:jc w:val="center"/>
        </w:trPr>
        <w:tc>
          <w:tcPr>
            <w:tcW w:w="3441" w:type="dxa"/>
            <w:tcBorders>
              <w:top w:val="single" w:sz="8" w:space="0" w:color="6E9400"/>
              <w:left w:val="single" w:sz="8" w:space="0" w:color="6E9400"/>
              <w:bottom w:val="single" w:sz="8" w:space="0" w:color="6E9400"/>
            </w:tcBorders>
          </w:tcPr>
          <w:p w14:paraId="43D2F1C5" w14:textId="77777777" w:rsidR="00505088" w:rsidRPr="00C90D34" w:rsidRDefault="00505088" w:rsidP="00505088">
            <w:pPr>
              <w:spacing w:after="0"/>
              <w:rPr>
                <w:b/>
                <w:bCs/>
                <w:lang w:val="en-CA"/>
              </w:rPr>
            </w:pPr>
            <w:r w:rsidRPr="00C90D34">
              <w:rPr>
                <w:b/>
                <w:bCs/>
                <w:lang w:val="en-CA"/>
              </w:rPr>
              <w:t>Estimated blended rate</w:t>
            </w:r>
          </w:p>
        </w:tc>
        <w:tc>
          <w:tcPr>
            <w:tcW w:w="1266" w:type="dxa"/>
            <w:tcBorders>
              <w:top w:val="single" w:sz="8" w:space="0" w:color="6E9400"/>
              <w:bottom w:val="single" w:sz="8" w:space="0" w:color="6E9400"/>
            </w:tcBorders>
          </w:tcPr>
          <w:p w14:paraId="0E91E9C9" w14:textId="28FB1753" w:rsidR="00505088" w:rsidRPr="00C90D34" w:rsidRDefault="00505088" w:rsidP="00505088">
            <w:pPr>
              <w:spacing w:after="0"/>
              <w:jc w:val="center"/>
              <w:rPr>
                <w:b/>
                <w:lang w:val="en-CA"/>
              </w:rPr>
            </w:pPr>
            <w:r w:rsidRPr="00C90D34">
              <w:rPr>
                <w:b/>
                <w:lang w:val="en-CA"/>
              </w:rPr>
              <w:t>$</w:t>
            </w:r>
            <w:r>
              <w:rPr>
                <w:b/>
                <w:lang w:val="en-CA"/>
              </w:rPr>
              <w:t>35,733</w:t>
            </w:r>
          </w:p>
        </w:tc>
        <w:tc>
          <w:tcPr>
            <w:tcW w:w="1266" w:type="dxa"/>
            <w:tcBorders>
              <w:top w:val="single" w:sz="8" w:space="0" w:color="6E9400"/>
              <w:bottom w:val="single" w:sz="8" w:space="0" w:color="6E9400"/>
            </w:tcBorders>
          </w:tcPr>
          <w:p w14:paraId="1E03F210" w14:textId="5A702BA2" w:rsidR="00505088" w:rsidRPr="00C90D34" w:rsidRDefault="00505088" w:rsidP="00505088">
            <w:pPr>
              <w:spacing w:after="0"/>
              <w:jc w:val="center"/>
              <w:rPr>
                <w:b/>
                <w:lang w:val="en-CA"/>
              </w:rPr>
            </w:pPr>
            <w:r>
              <w:rPr>
                <w:b/>
                <w:lang w:val="en-CA"/>
              </w:rPr>
              <w:t>35%</w:t>
            </w:r>
          </w:p>
        </w:tc>
        <w:tc>
          <w:tcPr>
            <w:tcW w:w="1266" w:type="dxa"/>
            <w:tcBorders>
              <w:top w:val="single" w:sz="8" w:space="0" w:color="6E9400"/>
              <w:bottom w:val="single" w:sz="8" w:space="0" w:color="6E9400"/>
            </w:tcBorders>
          </w:tcPr>
          <w:p w14:paraId="2BD0A785" w14:textId="629D16B6" w:rsidR="00505088" w:rsidRPr="00C90D34" w:rsidRDefault="00505088" w:rsidP="00505088">
            <w:pPr>
              <w:spacing w:after="0"/>
              <w:jc w:val="center"/>
              <w:rPr>
                <w:b/>
                <w:lang w:val="en-CA"/>
              </w:rPr>
            </w:pPr>
            <w:r>
              <w:rPr>
                <w:b/>
                <w:lang w:val="en-CA"/>
              </w:rPr>
              <w:t>$49,289</w:t>
            </w:r>
          </w:p>
        </w:tc>
        <w:tc>
          <w:tcPr>
            <w:tcW w:w="1266" w:type="dxa"/>
            <w:tcBorders>
              <w:top w:val="single" w:sz="8" w:space="0" w:color="6E9400"/>
              <w:bottom w:val="single" w:sz="8" w:space="0" w:color="6E9400"/>
              <w:right w:val="single" w:sz="8" w:space="0" w:color="6E9400"/>
            </w:tcBorders>
          </w:tcPr>
          <w:p w14:paraId="0EC287FC" w14:textId="1A36DBD3" w:rsidR="00505088" w:rsidRPr="00C90D34" w:rsidRDefault="00505088" w:rsidP="00505088">
            <w:pPr>
              <w:spacing w:after="0"/>
              <w:jc w:val="center"/>
              <w:rPr>
                <w:b/>
                <w:lang w:val="en-CA"/>
              </w:rPr>
            </w:pPr>
            <w:r>
              <w:rPr>
                <w:b/>
                <w:lang w:val="en-CA"/>
              </w:rPr>
              <w:t>27%</w:t>
            </w:r>
          </w:p>
        </w:tc>
      </w:tr>
      <w:tr w:rsidR="00505088" w:rsidRPr="00C90D34" w14:paraId="5B79700B" w14:textId="77777777" w:rsidTr="00505088">
        <w:trPr>
          <w:jc w:val="center"/>
        </w:trPr>
        <w:tc>
          <w:tcPr>
            <w:tcW w:w="3441" w:type="dxa"/>
            <w:tcBorders>
              <w:top w:val="single" w:sz="8" w:space="0" w:color="6E9400"/>
              <w:left w:val="single" w:sz="8" w:space="0" w:color="6E9400"/>
              <w:bottom w:val="single" w:sz="8" w:space="0" w:color="6E9400"/>
            </w:tcBorders>
          </w:tcPr>
          <w:p w14:paraId="60A7D3AD" w14:textId="6BB8AB99" w:rsidR="00505088" w:rsidRPr="00C90D34" w:rsidRDefault="00505088" w:rsidP="00505088">
            <w:pPr>
              <w:spacing w:after="0"/>
              <w:rPr>
                <w:b/>
                <w:bCs/>
                <w:lang w:val="en-CA"/>
              </w:rPr>
            </w:pPr>
            <w:r>
              <w:rPr>
                <w:b/>
                <w:bCs/>
                <w:lang w:val="en-CA"/>
              </w:rPr>
              <w:t>Estimated monthly interest</w:t>
            </w:r>
          </w:p>
        </w:tc>
        <w:tc>
          <w:tcPr>
            <w:tcW w:w="1266" w:type="dxa"/>
            <w:tcBorders>
              <w:top w:val="single" w:sz="8" w:space="0" w:color="6E9400"/>
              <w:bottom w:val="single" w:sz="8" w:space="0" w:color="6E9400"/>
            </w:tcBorders>
          </w:tcPr>
          <w:p w14:paraId="21708C7C" w14:textId="1BF099F5" w:rsidR="00505088" w:rsidRPr="00C90D34" w:rsidRDefault="00505088" w:rsidP="00505088">
            <w:pPr>
              <w:spacing w:after="0"/>
              <w:jc w:val="center"/>
              <w:rPr>
                <w:b/>
                <w:lang w:val="en-CA"/>
              </w:rPr>
            </w:pPr>
            <w:r>
              <w:rPr>
                <w:b/>
                <w:lang w:val="en-CA"/>
              </w:rPr>
              <w:t>$1,033</w:t>
            </w:r>
          </w:p>
        </w:tc>
        <w:tc>
          <w:tcPr>
            <w:tcW w:w="1266" w:type="dxa"/>
            <w:tcBorders>
              <w:top w:val="single" w:sz="8" w:space="0" w:color="6E9400"/>
              <w:bottom w:val="single" w:sz="8" w:space="0" w:color="6E9400"/>
            </w:tcBorders>
          </w:tcPr>
          <w:p w14:paraId="75CA3574" w14:textId="77777777" w:rsidR="00505088" w:rsidRDefault="00505088" w:rsidP="00505088">
            <w:pPr>
              <w:spacing w:after="0"/>
              <w:jc w:val="center"/>
              <w:rPr>
                <w:b/>
                <w:lang w:val="en-CA"/>
              </w:rPr>
            </w:pPr>
          </w:p>
        </w:tc>
        <w:tc>
          <w:tcPr>
            <w:tcW w:w="1266" w:type="dxa"/>
            <w:tcBorders>
              <w:top w:val="single" w:sz="8" w:space="0" w:color="6E9400"/>
              <w:bottom w:val="single" w:sz="8" w:space="0" w:color="6E9400"/>
            </w:tcBorders>
          </w:tcPr>
          <w:p w14:paraId="69719D1F" w14:textId="78A55A5A" w:rsidR="00505088" w:rsidRDefault="00505088" w:rsidP="00505088">
            <w:pPr>
              <w:spacing w:after="0"/>
              <w:jc w:val="center"/>
              <w:rPr>
                <w:b/>
                <w:lang w:val="en-CA"/>
              </w:rPr>
            </w:pPr>
            <w:r>
              <w:rPr>
                <w:b/>
                <w:lang w:val="en-CA"/>
              </w:rPr>
              <w:t>$1,115</w:t>
            </w:r>
          </w:p>
        </w:tc>
        <w:tc>
          <w:tcPr>
            <w:tcW w:w="1266" w:type="dxa"/>
            <w:tcBorders>
              <w:top w:val="single" w:sz="8" w:space="0" w:color="6E9400"/>
              <w:bottom w:val="single" w:sz="8" w:space="0" w:color="6E9400"/>
              <w:right w:val="single" w:sz="8" w:space="0" w:color="6E9400"/>
            </w:tcBorders>
          </w:tcPr>
          <w:p w14:paraId="46A5A360" w14:textId="77777777" w:rsidR="00505088" w:rsidRDefault="00505088" w:rsidP="00505088">
            <w:pPr>
              <w:spacing w:after="0"/>
              <w:jc w:val="center"/>
              <w:rPr>
                <w:b/>
                <w:lang w:val="en-CA"/>
              </w:rPr>
            </w:pPr>
          </w:p>
        </w:tc>
      </w:tr>
      <w:tr w:rsidR="005E3B71" w:rsidRPr="00C90D34" w14:paraId="33C6495B" w14:textId="77777777" w:rsidTr="00505088">
        <w:trPr>
          <w:jc w:val="center"/>
        </w:trPr>
        <w:tc>
          <w:tcPr>
            <w:tcW w:w="8505" w:type="dxa"/>
            <w:gridSpan w:val="5"/>
            <w:tcBorders>
              <w:top w:val="single" w:sz="8" w:space="0" w:color="6E9400"/>
              <w:left w:val="nil"/>
              <w:bottom w:val="nil"/>
              <w:right w:val="nil"/>
            </w:tcBorders>
          </w:tcPr>
          <w:p w14:paraId="5CC2AF27" w14:textId="6443FB36" w:rsidR="005E3B71" w:rsidRPr="005E3B71" w:rsidRDefault="005E3B71" w:rsidP="005E3B71">
            <w:pPr>
              <w:spacing w:after="0"/>
              <w:rPr>
                <w:lang w:val="en-CA"/>
              </w:rPr>
            </w:pPr>
            <w:r w:rsidRPr="005E3B71">
              <w:rPr>
                <w:bCs/>
                <w:lang w:val="en-CA"/>
              </w:rPr>
              <w:t xml:space="preserve">a – average for </w:t>
            </w:r>
            <w:r w:rsidR="005E417D">
              <w:rPr>
                <w:bCs/>
                <w:lang w:val="en-CA"/>
              </w:rPr>
              <w:t>all debtors</w:t>
            </w:r>
            <w:r w:rsidRPr="005E3B71">
              <w:rPr>
                <w:bCs/>
                <w:lang w:val="en-CA"/>
              </w:rPr>
              <w:t xml:space="preserve">, </w:t>
            </w:r>
            <w:r w:rsidR="005E417D">
              <w:rPr>
                <w:bCs/>
                <w:lang w:val="en-CA"/>
              </w:rPr>
              <w:t>blended rate between traditional &amp; installment</w:t>
            </w:r>
          </w:p>
        </w:tc>
      </w:tr>
    </w:tbl>
    <w:p w14:paraId="4D7F3397" w14:textId="774F8FDC" w:rsidR="009B2848" w:rsidRDefault="00E35BD7" w:rsidP="00505088">
      <w:pPr>
        <w:pStyle w:val="ListParagraph"/>
        <w:numPr>
          <w:ilvl w:val="0"/>
          <w:numId w:val="1"/>
        </w:numPr>
        <w:rPr>
          <w:lang w:val="en-CA"/>
        </w:rPr>
      </w:pPr>
      <w:r>
        <w:rPr>
          <w:lang w:val="en-CA"/>
        </w:rPr>
        <w:t xml:space="preserve">Calculated by Hoyes Michalos from data provided by Statistics Canada, </w:t>
      </w:r>
      <w:r w:rsidRPr="00E35BD7">
        <w:rPr>
          <w:lang w:val="en-CA"/>
        </w:rPr>
        <w:t>Table: 17-10-0005-01 (formerly CANSIM 051-0001)</w:t>
      </w:r>
      <w:r>
        <w:rPr>
          <w:lang w:val="en-CA"/>
        </w:rPr>
        <w:t xml:space="preserve"> </w:t>
      </w:r>
      <w:hyperlink r:id="rId29" w:history="1">
        <w:r w:rsidRPr="00300F40">
          <w:rPr>
            <w:rStyle w:val="Hyperlink"/>
            <w:lang w:val="en-CA"/>
          </w:rPr>
          <w:t>https://www150.statcan.gc.ca/t1/tbl1/en/cv.action?pid=1710000501</w:t>
        </w:r>
      </w:hyperlink>
    </w:p>
    <w:p w14:paraId="23EAFC9A" w14:textId="6D786DE0" w:rsidR="009B2848" w:rsidRPr="00C90D34" w:rsidRDefault="009B2848" w:rsidP="00B7297E">
      <w:pPr>
        <w:rPr>
          <w:lang w:val="en-CA"/>
        </w:rPr>
      </w:pPr>
    </w:p>
    <w:sectPr w:rsidR="009B2848" w:rsidRPr="00C90D34" w:rsidSect="001117A4">
      <w:pgSz w:w="12240" w:h="15840" w:code="1"/>
      <w:pgMar w:top="1418" w:right="1588" w:bottom="1418"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3AFE" w14:textId="77777777" w:rsidR="009F3C57" w:rsidRDefault="009F3C57" w:rsidP="00E0719D">
      <w:pPr>
        <w:spacing w:after="0" w:line="240" w:lineRule="auto"/>
      </w:pPr>
      <w:r>
        <w:separator/>
      </w:r>
    </w:p>
  </w:endnote>
  <w:endnote w:type="continuationSeparator" w:id="0">
    <w:p w14:paraId="41946A83" w14:textId="77777777" w:rsidR="009F3C57" w:rsidRDefault="009F3C57" w:rsidP="00E0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86008"/>
      <w:docPartObj>
        <w:docPartGallery w:val="Page Numbers (Bottom of Page)"/>
        <w:docPartUnique/>
      </w:docPartObj>
    </w:sdtPr>
    <w:sdtEndPr>
      <w:rPr>
        <w:noProof/>
      </w:rPr>
    </w:sdtEndPr>
    <w:sdtContent>
      <w:p w14:paraId="041BDCCD" w14:textId="034AD41B" w:rsidR="001319D4" w:rsidRDefault="001319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F250C1" w14:textId="77777777" w:rsidR="001319D4" w:rsidRDefault="0013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23CC" w14:textId="77777777" w:rsidR="009F3C57" w:rsidRDefault="009F3C57" w:rsidP="00E0719D">
      <w:pPr>
        <w:spacing w:after="0" w:line="240" w:lineRule="auto"/>
      </w:pPr>
      <w:r>
        <w:separator/>
      </w:r>
    </w:p>
  </w:footnote>
  <w:footnote w:type="continuationSeparator" w:id="0">
    <w:p w14:paraId="68B9D941" w14:textId="77777777" w:rsidR="009F3C57" w:rsidRDefault="009F3C57" w:rsidP="00E0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17"/>
    <w:multiLevelType w:val="hybridMultilevel"/>
    <w:tmpl w:val="8F16A1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17D21"/>
    <w:multiLevelType w:val="multilevel"/>
    <w:tmpl w:val="46D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A76B4"/>
    <w:multiLevelType w:val="hybridMultilevel"/>
    <w:tmpl w:val="2DF8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027C5"/>
    <w:multiLevelType w:val="hybridMultilevel"/>
    <w:tmpl w:val="F88CD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42AEE"/>
    <w:multiLevelType w:val="hybridMultilevel"/>
    <w:tmpl w:val="CA0E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544E3"/>
    <w:multiLevelType w:val="hybridMultilevel"/>
    <w:tmpl w:val="F9024D46"/>
    <w:lvl w:ilvl="0" w:tplc="BB4E457C">
      <w:start w:val="3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C44DED"/>
    <w:multiLevelType w:val="hybridMultilevel"/>
    <w:tmpl w:val="70F851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6B411AF"/>
    <w:multiLevelType w:val="multilevel"/>
    <w:tmpl w:val="1A60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65D53"/>
    <w:multiLevelType w:val="hybridMultilevel"/>
    <w:tmpl w:val="2A7E90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6370A08"/>
    <w:multiLevelType w:val="hybridMultilevel"/>
    <w:tmpl w:val="0B94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09279B"/>
    <w:multiLevelType w:val="multilevel"/>
    <w:tmpl w:val="375AF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4521E8"/>
    <w:multiLevelType w:val="hybridMultilevel"/>
    <w:tmpl w:val="180CC61C"/>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2" w15:restartNumberingAfterBreak="0">
    <w:nsid w:val="4B8158C4"/>
    <w:multiLevelType w:val="hybridMultilevel"/>
    <w:tmpl w:val="484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54AEE"/>
    <w:multiLevelType w:val="hybridMultilevel"/>
    <w:tmpl w:val="B92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47E8"/>
    <w:multiLevelType w:val="multilevel"/>
    <w:tmpl w:val="9EF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8772DB"/>
    <w:multiLevelType w:val="hybridMultilevel"/>
    <w:tmpl w:val="169CC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3E3996"/>
    <w:multiLevelType w:val="hybridMultilevel"/>
    <w:tmpl w:val="DA98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B5331B"/>
    <w:multiLevelType w:val="multilevel"/>
    <w:tmpl w:val="B096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621DB"/>
    <w:multiLevelType w:val="hybridMultilevel"/>
    <w:tmpl w:val="533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A054A"/>
    <w:multiLevelType w:val="hybridMultilevel"/>
    <w:tmpl w:val="244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33759"/>
    <w:multiLevelType w:val="hybridMultilevel"/>
    <w:tmpl w:val="49EC66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8"/>
  </w:num>
  <w:num w:numId="5">
    <w:abstractNumId w:val="5"/>
  </w:num>
  <w:num w:numId="6">
    <w:abstractNumId w:val="8"/>
  </w:num>
  <w:num w:numId="7">
    <w:abstractNumId w:val="6"/>
  </w:num>
  <w:num w:numId="8">
    <w:abstractNumId w:val="20"/>
  </w:num>
  <w:num w:numId="9">
    <w:abstractNumId w:val="13"/>
  </w:num>
  <w:num w:numId="10">
    <w:abstractNumId w:val="4"/>
  </w:num>
  <w:num w:numId="11">
    <w:abstractNumId w:val="15"/>
  </w:num>
  <w:num w:numId="12">
    <w:abstractNumId w:val="3"/>
  </w:num>
  <w:num w:numId="13">
    <w:abstractNumId w:val="9"/>
  </w:num>
  <w:num w:numId="14">
    <w:abstractNumId w:val="16"/>
  </w:num>
  <w:num w:numId="15">
    <w:abstractNumId w:val="14"/>
  </w:num>
  <w:num w:numId="16">
    <w:abstractNumId w:val="12"/>
  </w:num>
  <w:num w:numId="17">
    <w:abstractNumId w:val="7"/>
  </w:num>
  <w:num w:numId="18">
    <w:abstractNumId w:val="2"/>
  </w:num>
  <w:num w:numId="19">
    <w:abstractNumId w:val="1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UzMgMDY0NzI1NjBW0lEKTi0uzszPAykwrgUAoKGdXywAAAA="/>
  </w:docVars>
  <w:rsids>
    <w:rsidRoot w:val="00E0719D"/>
    <w:rsid w:val="0000229A"/>
    <w:rsid w:val="000024F5"/>
    <w:rsid w:val="00002594"/>
    <w:rsid w:val="000034DE"/>
    <w:rsid w:val="0000504F"/>
    <w:rsid w:val="00005966"/>
    <w:rsid w:val="0000607F"/>
    <w:rsid w:val="0000661B"/>
    <w:rsid w:val="00015147"/>
    <w:rsid w:val="00022073"/>
    <w:rsid w:val="00025AEC"/>
    <w:rsid w:val="00033C8E"/>
    <w:rsid w:val="0004605B"/>
    <w:rsid w:val="00046FA0"/>
    <w:rsid w:val="00047B63"/>
    <w:rsid w:val="000500C9"/>
    <w:rsid w:val="00053542"/>
    <w:rsid w:val="0005703E"/>
    <w:rsid w:val="00062965"/>
    <w:rsid w:val="000651D5"/>
    <w:rsid w:val="000659CC"/>
    <w:rsid w:val="00075CB4"/>
    <w:rsid w:val="0007616A"/>
    <w:rsid w:val="000763A9"/>
    <w:rsid w:val="000813B0"/>
    <w:rsid w:val="000835B4"/>
    <w:rsid w:val="00083AF6"/>
    <w:rsid w:val="000902E1"/>
    <w:rsid w:val="00091160"/>
    <w:rsid w:val="00094E00"/>
    <w:rsid w:val="00096249"/>
    <w:rsid w:val="000A0115"/>
    <w:rsid w:val="000B2164"/>
    <w:rsid w:val="000B70ED"/>
    <w:rsid w:val="000C1FB6"/>
    <w:rsid w:val="000C2CF4"/>
    <w:rsid w:val="000C60A1"/>
    <w:rsid w:val="000C6352"/>
    <w:rsid w:val="000D03A4"/>
    <w:rsid w:val="000D356C"/>
    <w:rsid w:val="000D5B7C"/>
    <w:rsid w:val="000D5DB4"/>
    <w:rsid w:val="000D61FE"/>
    <w:rsid w:val="000E2085"/>
    <w:rsid w:val="000E5CDD"/>
    <w:rsid w:val="000E6DA0"/>
    <w:rsid w:val="000F2844"/>
    <w:rsid w:val="000F555E"/>
    <w:rsid w:val="000F5A5A"/>
    <w:rsid w:val="00100086"/>
    <w:rsid w:val="00102EA7"/>
    <w:rsid w:val="00103591"/>
    <w:rsid w:val="0010396D"/>
    <w:rsid w:val="0011116E"/>
    <w:rsid w:val="001117A4"/>
    <w:rsid w:val="00114273"/>
    <w:rsid w:val="00114305"/>
    <w:rsid w:val="001160AF"/>
    <w:rsid w:val="00116DD7"/>
    <w:rsid w:val="00122B41"/>
    <w:rsid w:val="00122D26"/>
    <w:rsid w:val="00124FEE"/>
    <w:rsid w:val="00127D73"/>
    <w:rsid w:val="001319D4"/>
    <w:rsid w:val="001326AF"/>
    <w:rsid w:val="001349EC"/>
    <w:rsid w:val="001410AE"/>
    <w:rsid w:val="00146BFA"/>
    <w:rsid w:val="00153775"/>
    <w:rsid w:val="00154A87"/>
    <w:rsid w:val="00155567"/>
    <w:rsid w:val="0016111A"/>
    <w:rsid w:val="00161B20"/>
    <w:rsid w:val="00163F68"/>
    <w:rsid w:val="001648EF"/>
    <w:rsid w:val="00166662"/>
    <w:rsid w:val="0017261D"/>
    <w:rsid w:val="00175954"/>
    <w:rsid w:val="0017776D"/>
    <w:rsid w:val="0018722E"/>
    <w:rsid w:val="001874D0"/>
    <w:rsid w:val="00187858"/>
    <w:rsid w:val="00195921"/>
    <w:rsid w:val="00195FD6"/>
    <w:rsid w:val="00196122"/>
    <w:rsid w:val="001A048D"/>
    <w:rsid w:val="001A1FA8"/>
    <w:rsid w:val="001A233B"/>
    <w:rsid w:val="001A4450"/>
    <w:rsid w:val="001A4619"/>
    <w:rsid w:val="001A47B2"/>
    <w:rsid w:val="001A4B58"/>
    <w:rsid w:val="001A4C42"/>
    <w:rsid w:val="001A599C"/>
    <w:rsid w:val="001A59A9"/>
    <w:rsid w:val="001B6780"/>
    <w:rsid w:val="001B68DA"/>
    <w:rsid w:val="001C1BF3"/>
    <w:rsid w:val="001C2F35"/>
    <w:rsid w:val="001C5FFF"/>
    <w:rsid w:val="001C63DE"/>
    <w:rsid w:val="001D0871"/>
    <w:rsid w:val="001D3826"/>
    <w:rsid w:val="001D68EA"/>
    <w:rsid w:val="001E0E26"/>
    <w:rsid w:val="001E13C7"/>
    <w:rsid w:val="001E25B7"/>
    <w:rsid w:val="001F0CC0"/>
    <w:rsid w:val="001F2241"/>
    <w:rsid w:val="001F25CC"/>
    <w:rsid w:val="001F3185"/>
    <w:rsid w:val="001F3D36"/>
    <w:rsid w:val="001F4C6E"/>
    <w:rsid w:val="001F56B5"/>
    <w:rsid w:val="0020388C"/>
    <w:rsid w:val="00203B33"/>
    <w:rsid w:val="00204A4B"/>
    <w:rsid w:val="002060BC"/>
    <w:rsid w:val="0021278A"/>
    <w:rsid w:val="0021491F"/>
    <w:rsid w:val="002167FF"/>
    <w:rsid w:val="00223420"/>
    <w:rsid w:val="00223949"/>
    <w:rsid w:val="00225ABC"/>
    <w:rsid w:val="00226C41"/>
    <w:rsid w:val="00232AB2"/>
    <w:rsid w:val="00233D80"/>
    <w:rsid w:val="00237459"/>
    <w:rsid w:val="002414BD"/>
    <w:rsid w:val="00242F34"/>
    <w:rsid w:val="00243012"/>
    <w:rsid w:val="0024446D"/>
    <w:rsid w:val="00246C87"/>
    <w:rsid w:val="00246E1C"/>
    <w:rsid w:val="00247471"/>
    <w:rsid w:val="002513C5"/>
    <w:rsid w:val="00251A6A"/>
    <w:rsid w:val="00252272"/>
    <w:rsid w:val="0026365F"/>
    <w:rsid w:val="002647AA"/>
    <w:rsid w:val="00267C33"/>
    <w:rsid w:val="002720C9"/>
    <w:rsid w:val="002758C8"/>
    <w:rsid w:val="00277141"/>
    <w:rsid w:val="00277C16"/>
    <w:rsid w:val="00280FC4"/>
    <w:rsid w:val="002824DC"/>
    <w:rsid w:val="00285359"/>
    <w:rsid w:val="002907CC"/>
    <w:rsid w:val="00292543"/>
    <w:rsid w:val="00295F24"/>
    <w:rsid w:val="002A0112"/>
    <w:rsid w:val="002A0C3D"/>
    <w:rsid w:val="002A1E16"/>
    <w:rsid w:val="002A23DC"/>
    <w:rsid w:val="002A4AB5"/>
    <w:rsid w:val="002A6AEC"/>
    <w:rsid w:val="002A7E46"/>
    <w:rsid w:val="002B4865"/>
    <w:rsid w:val="002C2862"/>
    <w:rsid w:val="002C396E"/>
    <w:rsid w:val="002D564A"/>
    <w:rsid w:val="002D7875"/>
    <w:rsid w:val="002E0A39"/>
    <w:rsid w:val="002E102A"/>
    <w:rsid w:val="002E3300"/>
    <w:rsid w:val="002E3772"/>
    <w:rsid w:val="002E3984"/>
    <w:rsid w:val="00300101"/>
    <w:rsid w:val="003012CA"/>
    <w:rsid w:val="00302B9B"/>
    <w:rsid w:val="00317BCE"/>
    <w:rsid w:val="00320859"/>
    <w:rsid w:val="00321855"/>
    <w:rsid w:val="00321B43"/>
    <w:rsid w:val="00321CBF"/>
    <w:rsid w:val="003234B2"/>
    <w:rsid w:val="003307E1"/>
    <w:rsid w:val="0033504F"/>
    <w:rsid w:val="00341C83"/>
    <w:rsid w:val="00342859"/>
    <w:rsid w:val="00346D44"/>
    <w:rsid w:val="00352751"/>
    <w:rsid w:val="003531B5"/>
    <w:rsid w:val="00354CBE"/>
    <w:rsid w:val="003570A7"/>
    <w:rsid w:val="00357888"/>
    <w:rsid w:val="00361AE1"/>
    <w:rsid w:val="0036238E"/>
    <w:rsid w:val="003637B5"/>
    <w:rsid w:val="00371C6C"/>
    <w:rsid w:val="003722FD"/>
    <w:rsid w:val="00375B46"/>
    <w:rsid w:val="003821CE"/>
    <w:rsid w:val="003870A8"/>
    <w:rsid w:val="0038775C"/>
    <w:rsid w:val="00391BA0"/>
    <w:rsid w:val="00391E92"/>
    <w:rsid w:val="00392B46"/>
    <w:rsid w:val="00393FC0"/>
    <w:rsid w:val="003A2322"/>
    <w:rsid w:val="003A632C"/>
    <w:rsid w:val="003A7484"/>
    <w:rsid w:val="003B317B"/>
    <w:rsid w:val="003B7557"/>
    <w:rsid w:val="003C210B"/>
    <w:rsid w:val="003C394F"/>
    <w:rsid w:val="003C6860"/>
    <w:rsid w:val="003D4822"/>
    <w:rsid w:val="003E06B6"/>
    <w:rsid w:val="003E462C"/>
    <w:rsid w:val="003E5B3E"/>
    <w:rsid w:val="003F0F41"/>
    <w:rsid w:val="003F1393"/>
    <w:rsid w:val="00401E3A"/>
    <w:rsid w:val="00402038"/>
    <w:rsid w:val="00402E37"/>
    <w:rsid w:val="004044B8"/>
    <w:rsid w:val="00404AD8"/>
    <w:rsid w:val="0041505F"/>
    <w:rsid w:val="0041584A"/>
    <w:rsid w:val="00415E6F"/>
    <w:rsid w:val="004212C3"/>
    <w:rsid w:val="00430F16"/>
    <w:rsid w:val="0043201D"/>
    <w:rsid w:val="004346FD"/>
    <w:rsid w:val="004348D7"/>
    <w:rsid w:val="0044128C"/>
    <w:rsid w:val="0044406B"/>
    <w:rsid w:val="00447E5F"/>
    <w:rsid w:val="00450D20"/>
    <w:rsid w:val="00452D54"/>
    <w:rsid w:val="00453ECE"/>
    <w:rsid w:val="0046013F"/>
    <w:rsid w:val="00460729"/>
    <w:rsid w:val="004639A4"/>
    <w:rsid w:val="00464640"/>
    <w:rsid w:val="0047046D"/>
    <w:rsid w:val="0047069F"/>
    <w:rsid w:val="004715A0"/>
    <w:rsid w:val="0047248F"/>
    <w:rsid w:val="00483FFB"/>
    <w:rsid w:val="00484765"/>
    <w:rsid w:val="00484B2C"/>
    <w:rsid w:val="00484D8B"/>
    <w:rsid w:val="004860DE"/>
    <w:rsid w:val="00487693"/>
    <w:rsid w:val="004912FC"/>
    <w:rsid w:val="004925EA"/>
    <w:rsid w:val="00497522"/>
    <w:rsid w:val="004A0D85"/>
    <w:rsid w:val="004A3FF8"/>
    <w:rsid w:val="004A52FC"/>
    <w:rsid w:val="004A5594"/>
    <w:rsid w:val="004A5954"/>
    <w:rsid w:val="004A673D"/>
    <w:rsid w:val="004B03C0"/>
    <w:rsid w:val="004B1715"/>
    <w:rsid w:val="004B2E4C"/>
    <w:rsid w:val="004C025D"/>
    <w:rsid w:val="004C4724"/>
    <w:rsid w:val="004C6F4B"/>
    <w:rsid w:val="004D143F"/>
    <w:rsid w:val="004D715E"/>
    <w:rsid w:val="004E1FF7"/>
    <w:rsid w:val="004E4252"/>
    <w:rsid w:val="004F33BA"/>
    <w:rsid w:val="00500238"/>
    <w:rsid w:val="00500875"/>
    <w:rsid w:val="0050093D"/>
    <w:rsid w:val="00501633"/>
    <w:rsid w:val="005024F8"/>
    <w:rsid w:val="00502A2F"/>
    <w:rsid w:val="0050463C"/>
    <w:rsid w:val="00505088"/>
    <w:rsid w:val="00506AC6"/>
    <w:rsid w:val="005071D8"/>
    <w:rsid w:val="00515C00"/>
    <w:rsid w:val="00521613"/>
    <w:rsid w:val="005304B6"/>
    <w:rsid w:val="0054117A"/>
    <w:rsid w:val="0054536F"/>
    <w:rsid w:val="00545BB1"/>
    <w:rsid w:val="005516AD"/>
    <w:rsid w:val="00561455"/>
    <w:rsid w:val="00564105"/>
    <w:rsid w:val="00571E9D"/>
    <w:rsid w:val="00575AA6"/>
    <w:rsid w:val="0057701B"/>
    <w:rsid w:val="00577208"/>
    <w:rsid w:val="005901E7"/>
    <w:rsid w:val="005927FF"/>
    <w:rsid w:val="00592F19"/>
    <w:rsid w:val="00595385"/>
    <w:rsid w:val="005A00B0"/>
    <w:rsid w:val="005A5141"/>
    <w:rsid w:val="005A5888"/>
    <w:rsid w:val="005A7D94"/>
    <w:rsid w:val="005B0911"/>
    <w:rsid w:val="005B3DFE"/>
    <w:rsid w:val="005B4AC8"/>
    <w:rsid w:val="005B6F1F"/>
    <w:rsid w:val="005B735F"/>
    <w:rsid w:val="005C033D"/>
    <w:rsid w:val="005C0C42"/>
    <w:rsid w:val="005C22CC"/>
    <w:rsid w:val="005C47D7"/>
    <w:rsid w:val="005C515D"/>
    <w:rsid w:val="005C5BF0"/>
    <w:rsid w:val="005C5D4E"/>
    <w:rsid w:val="005D4DC5"/>
    <w:rsid w:val="005D4E2C"/>
    <w:rsid w:val="005E0B6F"/>
    <w:rsid w:val="005E29EE"/>
    <w:rsid w:val="005E32A6"/>
    <w:rsid w:val="005E3315"/>
    <w:rsid w:val="005E3B71"/>
    <w:rsid w:val="005E417D"/>
    <w:rsid w:val="005E63B7"/>
    <w:rsid w:val="005F122F"/>
    <w:rsid w:val="005F48A2"/>
    <w:rsid w:val="00601641"/>
    <w:rsid w:val="006037A4"/>
    <w:rsid w:val="00603BD2"/>
    <w:rsid w:val="00604506"/>
    <w:rsid w:val="0060593E"/>
    <w:rsid w:val="00607A59"/>
    <w:rsid w:val="00607ADC"/>
    <w:rsid w:val="00627858"/>
    <w:rsid w:val="00630B47"/>
    <w:rsid w:val="00631F8E"/>
    <w:rsid w:val="006362A6"/>
    <w:rsid w:val="00636495"/>
    <w:rsid w:val="00641B13"/>
    <w:rsid w:val="00646AD5"/>
    <w:rsid w:val="00652182"/>
    <w:rsid w:val="006571F2"/>
    <w:rsid w:val="0066057E"/>
    <w:rsid w:val="0066147B"/>
    <w:rsid w:val="00661F77"/>
    <w:rsid w:val="0066260D"/>
    <w:rsid w:val="00667ED4"/>
    <w:rsid w:val="0067191C"/>
    <w:rsid w:val="00675999"/>
    <w:rsid w:val="00677720"/>
    <w:rsid w:val="00681E17"/>
    <w:rsid w:val="006827E5"/>
    <w:rsid w:val="00682A60"/>
    <w:rsid w:val="00682B1C"/>
    <w:rsid w:val="00682B92"/>
    <w:rsid w:val="00686551"/>
    <w:rsid w:val="00687638"/>
    <w:rsid w:val="00687679"/>
    <w:rsid w:val="00691679"/>
    <w:rsid w:val="00691D09"/>
    <w:rsid w:val="006A34B6"/>
    <w:rsid w:val="006A496E"/>
    <w:rsid w:val="006A5D34"/>
    <w:rsid w:val="006B3AED"/>
    <w:rsid w:val="006C1C24"/>
    <w:rsid w:val="006C3CD0"/>
    <w:rsid w:val="006C3E30"/>
    <w:rsid w:val="006C5622"/>
    <w:rsid w:val="006C6617"/>
    <w:rsid w:val="006C791B"/>
    <w:rsid w:val="006D0FE4"/>
    <w:rsid w:val="006D7FFB"/>
    <w:rsid w:val="006E1388"/>
    <w:rsid w:val="006F0F1E"/>
    <w:rsid w:val="006F3128"/>
    <w:rsid w:val="006F4B53"/>
    <w:rsid w:val="006F4C4C"/>
    <w:rsid w:val="006F7794"/>
    <w:rsid w:val="006F794B"/>
    <w:rsid w:val="00702D68"/>
    <w:rsid w:val="00703596"/>
    <w:rsid w:val="00706802"/>
    <w:rsid w:val="00711B8E"/>
    <w:rsid w:val="007147BF"/>
    <w:rsid w:val="007159B7"/>
    <w:rsid w:val="00716380"/>
    <w:rsid w:val="0071721B"/>
    <w:rsid w:val="00720B14"/>
    <w:rsid w:val="00721394"/>
    <w:rsid w:val="0072214B"/>
    <w:rsid w:val="0072237F"/>
    <w:rsid w:val="00725249"/>
    <w:rsid w:val="00744703"/>
    <w:rsid w:val="00747BBF"/>
    <w:rsid w:val="00751EF1"/>
    <w:rsid w:val="00756595"/>
    <w:rsid w:val="00757B35"/>
    <w:rsid w:val="0076022F"/>
    <w:rsid w:val="00761091"/>
    <w:rsid w:val="007645B0"/>
    <w:rsid w:val="007650B4"/>
    <w:rsid w:val="007661E5"/>
    <w:rsid w:val="00766627"/>
    <w:rsid w:val="00771518"/>
    <w:rsid w:val="00771A9F"/>
    <w:rsid w:val="007722A4"/>
    <w:rsid w:val="0077573A"/>
    <w:rsid w:val="007778D6"/>
    <w:rsid w:val="007801E2"/>
    <w:rsid w:val="00782933"/>
    <w:rsid w:val="007841FA"/>
    <w:rsid w:val="007856F4"/>
    <w:rsid w:val="00786BE5"/>
    <w:rsid w:val="00787C8E"/>
    <w:rsid w:val="00797968"/>
    <w:rsid w:val="00797AFA"/>
    <w:rsid w:val="00797E92"/>
    <w:rsid w:val="007A2DAD"/>
    <w:rsid w:val="007A6810"/>
    <w:rsid w:val="007A7E89"/>
    <w:rsid w:val="007B24DF"/>
    <w:rsid w:val="007B33B1"/>
    <w:rsid w:val="007B478E"/>
    <w:rsid w:val="007B527A"/>
    <w:rsid w:val="007C01AC"/>
    <w:rsid w:val="007C4715"/>
    <w:rsid w:val="007C5EA0"/>
    <w:rsid w:val="007C656B"/>
    <w:rsid w:val="007C752D"/>
    <w:rsid w:val="007D094E"/>
    <w:rsid w:val="007D295A"/>
    <w:rsid w:val="007D5234"/>
    <w:rsid w:val="007D682D"/>
    <w:rsid w:val="007E2B2E"/>
    <w:rsid w:val="007E2DF4"/>
    <w:rsid w:val="007E380C"/>
    <w:rsid w:val="007E5BDC"/>
    <w:rsid w:val="007F3083"/>
    <w:rsid w:val="007F33EC"/>
    <w:rsid w:val="007F6DB6"/>
    <w:rsid w:val="007F7073"/>
    <w:rsid w:val="00801815"/>
    <w:rsid w:val="00802080"/>
    <w:rsid w:val="008069C7"/>
    <w:rsid w:val="00806A83"/>
    <w:rsid w:val="00813B49"/>
    <w:rsid w:val="00815CAB"/>
    <w:rsid w:val="0082544B"/>
    <w:rsid w:val="0082576E"/>
    <w:rsid w:val="00825CE4"/>
    <w:rsid w:val="00826618"/>
    <w:rsid w:val="00827BA7"/>
    <w:rsid w:val="00832493"/>
    <w:rsid w:val="008326AC"/>
    <w:rsid w:val="00834FF8"/>
    <w:rsid w:val="00840F4A"/>
    <w:rsid w:val="00841C56"/>
    <w:rsid w:val="00844087"/>
    <w:rsid w:val="00845879"/>
    <w:rsid w:val="008547D5"/>
    <w:rsid w:val="0085595D"/>
    <w:rsid w:val="008566CE"/>
    <w:rsid w:val="00860938"/>
    <w:rsid w:val="0086436F"/>
    <w:rsid w:val="00867E0D"/>
    <w:rsid w:val="00870727"/>
    <w:rsid w:val="008708E5"/>
    <w:rsid w:val="008709C3"/>
    <w:rsid w:val="00870CDD"/>
    <w:rsid w:val="008750A2"/>
    <w:rsid w:val="00875F10"/>
    <w:rsid w:val="0087620E"/>
    <w:rsid w:val="00877EA0"/>
    <w:rsid w:val="00883950"/>
    <w:rsid w:val="0089062A"/>
    <w:rsid w:val="00896146"/>
    <w:rsid w:val="008A63F1"/>
    <w:rsid w:val="008A7058"/>
    <w:rsid w:val="008B0205"/>
    <w:rsid w:val="008B2A0F"/>
    <w:rsid w:val="008B6433"/>
    <w:rsid w:val="008C0947"/>
    <w:rsid w:val="008C3E09"/>
    <w:rsid w:val="008C636A"/>
    <w:rsid w:val="008D1B7F"/>
    <w:rsid w:val="008E44C7"/>
    <w:rsid w:val="008E5776"/>
    <w:rsid w:val="008E5AEF"/>
    <w:rsid w:val="00902057"/>
    <w:rsid w:val="00903253"/>
    <w:rsid w:val="00903603"/>
    <w:rsid w:val="00904E61"/>
    <w:rsid w:val="00914D41"/>
    <w:rsid w:val="00921A81"/>
    <w:rsid w:val="0092668F"/>
    <w:rsid w:val="009276AF"/>
    <w:rsid w:val="00927783"/>
    <w:rsid w:val="00934609"/>
    <w:rsid w:val="00937C07"/>
    <w:rsid w:val="00937C70"/>
    <w:rsid w:val="00942C57"/>
    <w:rsid w:val="009439C9"/>
    <w:rsid w:val="009471F1"/>
    <w:rsid w:val="0095006C"/>
    <w:rsid w:val="00950090"/>
    <w:rsid w:val="009507B0"/>
    <w:rsid w:val="009565DA"/>
    <w:rsid w:val="00961E2C"/>
    <w:rsid w:val="009622F4"/>
    <w:rsid w:val="0096487C"/>
    <w:rsid w:val="0097431D"/>
    <w:rsid w:val="0097510E"/>
    <w:rsid w:val="0097515D"/>
    <w:rsid w:val="00975A2B"/>
    <w:rsid w:val="00977F89"/>
    <w:rsid w:val="00982496"/>
    <w:rsid w:val="0098346E"/>
    <w:rsid w:val="00992337"/>
    <w:rsid w:val="00992BC6"/>
    <w:rsid w:val="0099426C"/>
    <w:rsid w:val="009957B3"/>
    <w:rsid w:val="0099585C"/>
    <w:rsid w:val="009A0EEB"/>
    <w:rsid w:val="009A153D"/>
    <w:rsid w:val="009A2F10"/>
    <w:rsid w:val="009A42E0"/>
    <w:rsid w:val="009B2848"/>
    <w:rsid w:val="009B496B"/>
    <w:rsid w:val="009C0330"/>
    <w:rsid w:val="009C0A8D"/>
    <w:rsid w:val="009C2C70"/>
    <w:rsid w:val="009C3538"/>
    <w:rsid w:val="009C5184"/>
    <w:rsid w:val="009D1B19"/>
    <w:rsid w:val="009D2A39"/>
    <w:rsid w:val="009D7573"/>
    <w:rsid w:val="009E358F"/>
    <w:rsid w:val="009E4605"/>
    <w:rsid w:val="009E58FD"/>
    <w:rsid w:val="009E6B18"/>
    <w:rsid w:val="009F155D"/>
    <w:rsid w:val="009F3C57"/>
    <w:rsid w:val="009F60EB"/>
    <w:rsid w:val="009F73BE"/>
    <w:rsid w:val="00A02616"/>
    <w:rsid w:val="00A04CBE"/>
    <w:rsid w:val="00A0569B"/>
    <w:rsid w:val="00A07916"/>
    <w:rsid w:val="00A145F3"/>
    <w:rsid w:val="00A20DF8"/>
    <w:rsid w:val="00A2453B"/>
    <w:rsid w:val="00A31190"/>
    <w:rsid w:val="00A36638"/>
    <w:rsid w:val="00A373CE"/>
    <w:rsid w:val="00A400CA"/>
    <w:rsid w:val="00A42D64"/>
    <w:rsid w:val="00A44354"/>
    <w:rsid w:val="00A44ACA"/>
    <w:rsid w:val="00A502C0"/>
    <w:rsid w:val="00A5068F"/>
    <w:rsid w:val="00A52A0D"/>
    <w:rsid w:val="00A6148E"/>
    <w:rsid w:val="00A6572A"/>
    <w:rsid w:val="00A65CF1"/>
    <w:rsid w:val="00A66F9E"/>
    <w:rsid w:val="00A723F9"/>
    <w:rsid w:val="00A7261E"/>
    <w:rsid w:val="00A72D09"/>
    <w:rsid w:val="00A76B58"/>
    <w:rsid w:val="00A83B34"/>
    <w:rsid w:val="00A83C0E"/>
    <w:rsid w:val="00A853FA"/>
    <w:rsid w:val="00A8707F"/>
    <w:rsid w:val="00A924B4"/>
    <w:rsid w:val="00A95F80"/>
    <w:rsid w:val="00A96D59"/>
    <w:rsid w:val="00AA0830"/>
    <w:rsid w:val="00AA14ED"/>
    <w:rsid w:val="00AA2693"/>
    <w:rsid w:val="00AA6139"/>
    <w:rsid w:val="00AB218C"/>
    <w:rsid w:val="00AB2E76"/>
    <w:rsid w:val="00AB5795"/>
    <w:rsid w:val="00AB6501"/>
    <w:rsid w:val="00AC2470"/>
    <w:rsid w:val="00AC2FC3"/>
    <w:rsid w:val="00AD428B"/>
    <w:rsid w:val="00AD444B"/>
    <w:rsid w:val="00AD5A5F"/>
    <w:rsid w:val="00AD7529"/>
    <w:rsid w:val="00AD79DA"/>
    <w:rsid w:val="00AD7DB6"/>
    <w:rsid w:val="00AE01BE"/>
    <w:rsid w:val="00AE0CC8"/>
    <w:rsid w:val="00AE0F19"/>
    <w:rsid w:val="00AE6528"/>
    <w:rsid w:val="00AF044C"/>
    <w:rsid w:val="00AF2C99"/>
    <w:rsid w:val="00AF4DAB"/>
    <w:rsid w:val="00AF5527"/>
    <w:rsid w:val="00B01D55"/>
    <w:rsid w:val="00B0476D"/>
    <w:rsid w:val="00B06938"/>
    <w:rsid w:val="00B071EE"/>
    <w:rsid w:val="00B11512"/>
    <w:rsid w:val="00B166FD"/>
    <w:rsid w:val="00B16B5B"/>
    <w:rsid w:val="00B171BE"/>
    <w:rsid w:val="00B176F6"/>
    <w:rsid w:val="00B216AE"/>
    <w:rsid w:val="00B227EF"/>
    <w:rsid w:val="00B2519E"/>
    <w:rsid w:val="00B25C78"/>
    <w:rsid w:val="00B336F6"/>
    <w:rsid w:val="00B40355"/>
    <w:rsid w:val="00B40551"/>
    <w:rsid w:val="00B40680"/>
    <w:rsid w:val="00B44893"/>
    <w:rsid w:val="00B538E8"/>
    <w:rsid w:val="00B54BC1"/>
    <w:rsid w:val="00B57217"/>
    <w:rsid w:val="00B6286A"/>
    <w:rsid w:val="00B65A64"/>
    <w:rsid w:val="00B6798B"/>
    <w:rsid w:val="00B70E34"/>
    <w:rsid w:val="00B7297E"/>
    <w:rsid w:val="00B73AFF"/>
    <w:rsid w:val="00B751DF"/>
    <w:rsid w:val="00B77372"/>
    <w:rsid w:val="00B86847"/>
    <w:rsid w:val="00B90E21"/>
    <w:rsid w:val="00B93695"/>
    <w:rsid w:val="00B9456E"/>
    <w:rsid w:val="00B9730B"/>
    <w:rsid w:val="00BA114F"/>
    <w:rsid w:val="00BA5DCF"/>
    <w:rsid w:val="00BB2606"/>
    <w:rsid w:val="00BB5D99"/>
    <w:rsid w:val="00BB7040"/>
    <w:rsid w:val="00BB76C2"/>
    <w:rsid w:val="00BC06F0"/>
    <w:rsid w:val="00BC0D85"/>
    <w:rsid w:val="00BC5419"/>
    <w:rsid w:val="00BC609E"/>
    <w:rsid w:val="00BC7639"/>
    <w:rsid w:val="00BD0B69"/>
    <w:rsid w:val="00BD0BC7"/>
    <w:rsid w:val="00BD138F"/>
    <w:rsid w:val="00BD4279"/>
    <w:rsid w:val="00BD7974"/>
    <w:rsid w:val="00BE14C6"/>
    <w:rsid w:val="00BE58C1"/>
    <w:rsid w:val="00BE5E4F"/>
    <w:rsid w:val="00BF2813"/>
    <w:rsid w:val="00BF670D"/>
    <w:rsid w:val="00C0032E"/>
    <w:rsid w:val="00C0725C"/>
    <w:rsid w:val="00C07E9C"/>
    <w:rsid w:val="00C22EC6"/>
    <w:rsid w:val="00C31847"/>
    <w:rsid w:val="00C338A3"/>
    <w:rsid w:val="00C35509"/>
    <w:rsid w:val="00C35C9B"/>
    <w:rsid w:val="00C370D2"/>
    <w:rsid w:val="00C37DD7"/>
    <w:rsid w:val="00C45CC1"/>
    <w:rsid w:val="00C47709"/>
    <w:rsid w:val="00C531E6"/>
    <w:rsid w:val="00C55552"/>
    <w:rsid w:val="00C56D9B"/>
    <w:rsid w:val="00C57BE7"/>
    <w:rsid w:val="00C609D8"/>
    <w:rsid w:val="00C64D2D"/>
    <w:rsid w:val="00C702C5"/>
    <w:rsid w:val="00C73BC1"/>
    <w:rsid w:val="00C75F0A"/>
    <w:rsid w:val="00C77D9B"/>
    <w:rsid w:val="00C8555A"/>
    <w:rsid w:val="00C90D34"/>
    <w:rsid w:val="00C92445"/>
    <w:rsid w:val="00C93767"/>
    <w:rsid w:val="00C94C38"/>
    <w:rsid w:val="00CA06F1"/>
    <w:rsid w:val="00CA0CE8"/>
    <w:rsid w:val="00CA115C"/>
    <w:rsid w:val="00CA53F3"/>
    <w:rsid w:val="00CA7914"/>
    <w:rsid w:val="00CB0376"/>
    <w:rsid w:val="00CB2870"/>
    <w:rsid w:val="00CB2FAE"/>
    <w:rsid w:val="00CB3BB8"/>
    <w:rsid w:val="00CB5921"/>
    <w:rsid w:val="00CC0F0A"/>
    <w:rsid w:val="00CC1BB5"/>
    <w:rsid w:val="00CC31BA"/>
    <w:rsid w:val="00CC69EA"/>
    <w:rsid w:val="00CC6DF2"/>
    <w:rsid w:val="00CD1BE0"/>
    <w:rsid w:val="00CD23CC"/>
    <w:rsid w:val="00CD790D"/>
    <w:rsid w:val="00CE535D"/>
    <w:rsid w:val="00CE5430"/>
    <w:rsid w:val="00CE74C0"/>
    <w:rsid w:val="00CF0085"/>
    <w:rsid w:val="00CF013A"/>
    <w:rsid w:val="00CF03EB"/>
    <w:rsid w:val="00CF2821"/>
    <w:rsid w:val="00CF2D32"/>
    <w:rsid w:val="00CF790A"/>
    <w:rsid w:val="00D00E39"/>
    <w:rsid w:val="00D00E4C"/>
    <w:rsid w:val="00D01FE4"/>
    <w:rsid w:val="00D072A0"/>
    <w:rsid w:val="00D074F0"/>
    <w:rsid w:val="00D1181B"/>
    <w:rsid w:val="00D11F0B"/>
    <w:rsid w:val="00D1262B"/>
    <w:rsid w:val="00D168BA"/>
    <w:rsid w:val="00D30E56"/>
    <w:rsid w:val="00D31447"/>
    <w:rsid w:val="00D332B0"/>
    <w:rsid w:val="00D34423"/>
    <w:rsid w:val="00D42245"/>
    <w:rsid w:val="00D51F40"/>
    <w:rsid w:val="00D60E05"/>
    <w:rsid w:val="00D614C6"/>
    <w:rsid w:val="00D614EE"/>
    <w:rsid w:val="00D70513"/>
    <w:rsid w:val="00D714CA"/>
    <w:rsid w:val="00D727E9"/>
    <w:rsid w:val="00D73071"/>
    <w:rsid w:val="00D752A4"/>
    <w:rsid w:val="00D81DDB"/>
    <w:rsid w:val="00D842C4"/>
    <w:rsid w:val="00D847C0"/>
    <w:rsid w:val="00D8708B"/>
    <w:rsid w:val="00D87860"/>
    <w:rsid w:val="00D91087"/>
    <w:rsid w:val="00D94A27"/>
    <w:rsid w:val="00D96494"/>
    <w:rsid w:val="00D971F5"/>
    <w:rsid w:val="00DA0F9B"/>
    <w:rsid w:val="00DA1C2B"/>
    <w:rsid w:val="00DB1224"/>
    <w:rsid w:val="00DB1529"/>
    <w:rsid w:val="00DB2056"/>
    <w:rsid w:val="00DB2358"/>
    <w:rsid w:val="00DB2D59"/>
    <w:rsid w:val="00DB3076"/>
    <w:rsid w:val="00DB4E32"/>
    <w:rsid w:val="00DB52B6"/>
    <w:rsid w:val="00DB566D"/>
    <w:rsid w:val="00DB69E4"/>
    <w:rsid w:val="00DB7DA3"/>
    <w:rsid w:val="00DC22FD"/>
    <w:rsid w:val="00DD0566"/>
    <w:rsid w:val="00DD0632"/>
    <w:rsid w:val="00DE0EFC"/>
    <w:rsid w:val="00DE1367"/>
    <w:rsid w:val="00DE4A3F"/>
    <w:rsid w:val="00DE4A6E"/>
    <w:rsid w:val="00DF0FD9"/>
    <w:rsid w:val="00DF3F58"/>
    <w:rsid w:val="00DF48F9"/>
    <w:rsid w:val="00DF5846"/>
    <w:rsid w:val="00E0290D"/>
    <w:rsid w:val="00E02BEF"/>
    <w:rsid w:val="00E02BFB"/>
    <w:rsid w:val="00E03422"/>
    <w:rsid w:val="00E0719D"/>
    <w:rsid w:val="00E22770"/>
    <w:rsid w:val="00E257FD"/>
    <w:rsid w:val="00E27814"/>
    <w:rsid w:val="00E32A8C"/>
    <w:rsid w:val="00E3451C"/>
    <w:rsid w:val="00E35BD7"/>
    <w:rsid w:val="00E43342"/>
    <w:rsid w:val="00E43620"/>
    <w:rsid w:val="00E44FA1"/>
    <w:rsid w:val="00E455FB"/>
    <w:rsid w:val="00E47127"/>
    <w:rsid w:val="00E60322"/>
    <w:rsid w:val="00E6140C"/>
    <w:rsid w:val="00E64F15"/>
    <w:rsid w:val="00E659AE"/>
    <w:rsid w:val="00E71F0C"/>
    <w:rsid w:val="00E746FA"/>
    <w:rsid w:val="00E75A1E"/>
    <w:rsid w:val="00E80621"/>
    <w:rsid w:val="00E84763"/>
    <w:rsid w:val="00E848C0"/>
    <w:rsid w:val="00E8517C"/>
    <w:rsid w:val="00E86D99"/>
    <w:rsid w:val="00E870F8"/>
    <w:rsid w:val="00E9172C"/>
    <w:rsid w:val="00E92531"/>
    <w:rsid w:val="00E94A33"/>
    <w:rsid w:val="00EA1FD5"/>
    <w:rsid w:val="00EB115B"/>
    <w:rsid w:val="00EB3CE2"/>
    <w:rsid w:val="00EB62CD"/>
    <w:rsid w:val="00EC1021"/>
    <w:rsid w:val="00EC286E"/>
    <w:rsid w:val="00EC3950"/>
    <w:rsid w:val="00EC3F6E"/>
    <w:rsid w:val="00EC4EFE"/>
    <w:rsid w:val="00EC5958"/>
    <w:rsid w:val="00EC6D5A"/>
    <w:rsid w:val="00ED0979"/>
    <w:rsid w:val="00ED0DC3"/>
    <w:rsid w:val="00ED179C"/>
    <w:rsid w:val="00ED6C3D"/>
    <w:rsid w:val="00EE37D4"/>
    <w:rsid w:val="00EF0448"/>
    <w:rsid w:val="00EF482A"/>
    <w:rsid w:val="00EF6F82"/>
    <w:rsid w:val="00EF78CD"/>
    <w:rsid w:val="00F00856"/>
    <w:rsid w:val="00F029D2"/>
    <w:rsid w:val="00F06AB6"/>
    <w:rsid w:val="00F100BE"/>
    <w:rsid w:val="00F1078C"/>
    <w:rsid w:val="00F11E0F"/>
    <w:rsid w:val="00F122F3"/>
    <w:rsid w:val="00F12964"/>
    <w:rsid w:val="00F13498"/>
    <w:rsid w:val="00F14AED"/>
    <w:rsid w:val="00F1683B"/>
    <w:rsid w:val="00F16D63"/>
    <w:rsid w:val="00F20262"/>
    <w:rsid w:val="00F24D36"/>
    <w:rsid w:val="00F321E3"/>
    <w:rsid w:val="00F43269"/>
    <w:rsid w:val="00F43E82"/>
    <w:rsid w:val="00F459CF"/>
    <w:rsid w:val="00F511C8"/>
    <w:rsid w:val="00F53764"/>
    <w:rsid w:val="00F541C6"/>
    <w:rsid w:val="00F561CE"/>
    <w:rsid w:val="00F56357"/>
    <w:rsid w:val="00F655CC"/>
    <w:rsid w:val="00F66EB1"/>
    <w:rsid w:val="00F70841"/>
    <w:rsid w:val="00F73B70"/>
    <w:rsid w:val="00F777D7"/>
    <w:rsid w:val="00F779B8"/>
    <w:rsid w:val="00F84C62"/>
    <w:rsid w:val="00F94CAB"/>
    <w:rsid w:val="00FA3DEA"/>
    <w:rsid w:val="00FA587D"/>
    <w:rsid w:val="00FB2A99"/>
    <w:rsid w:val="00FB3D7A"/>
    <w:rsid w:val="00FB64D9"/>
    <w:rsid w:val="00FC2909"/>
    <w:rsid w:val="00FC3D06"/>
    <w:rsid w:val="00FC5FB8"/>
    <w:rsid w:val="00FC7D26"/>
    <w:rsid w:val="00FD5BB0"/>
    <w:rsid w:val="00FD7664"/>
    <w:rsid w:val="00FE1137"/>
    <w:rsid w:val="00FE2B91"/>
    <w:rsid w:val="00FE3024"/>
    <w:rsid w:val="00FE40C4"/>
    <w:rsid w:val="00FE5652"/>
    <w:rsid w:val="00FE595E"/>
    <w:rsid w:val="00FE5ACF"/>
    <w:rsid w:val="00FE64BA"/>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0966"/>
  <w15:chartTrackingRefBased/>
  <w15:docId w15:val="{D3DE0D69-9BFF-47F5-A692-303E64F9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56"/>
  </w:style>
  <w:style w:type="paragraph" w:styleId="Heading1">
    <w:name w:val="heading 1"/>
    <w:basedOn w:val="Normal"/>
    <w:next w:val="Normal"/>
    <w:link w:val="Heading1Char"/>
    <w:uiPriority w:val="9"/>
    <w:qFormat/>
    <w:rsid w:val="008E5776"/>
    <w:pPr>
      <w:keepNext/>
      <w:keepLines/>
      <w:spacing w:after="120" w:line="240" w:lineRule="auto"/>
      <w:jc w:val="both"/>
      <w:outlineLvl w:val="0"/>
    </w:pPr>
    <w:rPr>
      <w:rFonts w:ascii="Cambria" w:eastAsia="Times New Roman" w:hAnsi="Cambria" w:cs="Times New Roman"/>
      <w:b/>
      <w:bCs/>
      <w:noProof/>
      <w:sz w:val="28"/>
      <w:szCs w:val="28"/>
      <w:lang w:val="en-CA" w:eastAsia="en-CA"/>
    </w:rPr>
  </w:style>
  <w:style w:type="paragraph" w:styleId="Heading2">
    <w:name w:val="heading 2"/>
    <w:basedOn w:val="Normal"/>
    <w:next w:val="Normal"/>
    <w:link w:val="Heading2Char"/>
    <w:uiPriority w:val="9"/>
    <w:unhideWhenUsed/>
    <w:qFormat/>
    <w:rsid w:val="00DF0FD9"/>
    <w:pPr>
      <w:keepNext/>
      <w:keepLines/>
      <w:spacing w:before="36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B2E4C"/>
    <w:pPr>
      <w:keepNext/>
      <w:keepLines/>
      <w:spacing w:before="40" w:after="12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267C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1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1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5776"/>
    <w:rPr>
      <w:rFonts w:ascii="Cambria" w:eastAsia="Times New Roman" w:hAnsi="Cambria" w:cs="Times New Roman"/>
      <w:b/>
      <w:bCs/>
      <w:noProof/>
      <w:sz w:val="28"/>
      <w:szCs w:val="28"/>
      <w:lang w:val="en-CA" w:eastAsia="en-CA"/>
    </w:rPr>
  </w:style>
  <w:style w:type="paragraph" w:styleId="BodyText">
    <w:name w:val="Body Text"/>
    <w:basedOn w:val="Normal"/>
    <w:link w:val="BodyTextChar"/>
    <w:rsid w:val="00E0719D"/>
    <w:pPr>
      <w:spacing w:after="120" w:line="240" w:lineRule="auto"/>
      <w:jc w:val="both"/>
    </w:pPr>
    <w:rPr>
      <w:rFonts w:ascii="Times New Roman" w:eastAsia="Times New Roman" w:hAnsi="Times New Roman" w:cs="Times New Roman"/>
      <w:sz w:val="20"/>
      <w:szCs w:val="20"/>
      <w:lang w:val="en-CA" w:eastAsia="x-none"/>
    </w:rPr>
  </w:style>
  <w:style w:type="character" w:customStyle="1" w:styleId="BodyTextChar">
    <w:name w:val="Body Text Char"/>
    <w:basedOn w:val="DefaultParagraphFont"/>
    <w:link w:val="BodyText"/>
    <w:rsid w:val="00E0719D"/>
    <w:rPr>
      <w:rFonts w:ascii="Times New Roman" w:eastAsia="Times New Roman" w:hAnsi="Times New Roman" w:cs="Times New Roman"/>
      <w:sz w:val="20"/>
      <w:szCs w:val="20"/>
      <w:lang w:val="en-CA" w:eastAsia="x-none"/>
    </w:rPr>
  </w:style>
  <w:style w:type="paragraph" w:styleId="Header">
    <w:name w:val="header"/>
    <w:basedOn w:val="Normal"/>
    <w:link w:val="HeaderChar"/>
    <w:uiPriority w:val="99"/>
    <w:unhideWhenUsed/>
    <w:rsid w:val="00E0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9D"/>
  </w:style>
  <w:style w:type="paragraph" w:styleId="Footer">
    <w:name w:val="footer"/>
    <w:basedOn w:val="Normal"/>
    <w:link w:val="FooterChar"/>
    <w:uiPriority w:val="99"/>
    <w:unhideWhenUsed/>
    <w:rsid w:val="00E0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9D"/>
  </w:style>
  <w:style w:type="character" w:styleId="PlaceholderText">
    <w:name w:val="Placeholder Text"/>
    <w:basedOn w:val="DefaultParagraphFont"/>
    <w:uiPriority w:val="99"/>
    <w:semiHidden/>
    <w:rsid w:val="0016111A"/>
    <w:rPr>
      <w:color w:val="808080"/>
    </w:rPr>
  </w:style>
  <w:style w:type="paragraph" w:styleId="Bibliography">
    <w:name w:val="Bibliography"/>
    <w:basedOn w:val="Normal"/>
    <w:next w:val="Normal"/>
    <w:uiPriority w:val="37"/>
    <w:unhideWhenUsed/>
    <w:rsid w:val="00D614C6"/>
  </w:style>
  <w:style w:type="paragraph" w:styleId="ListParagraph">
    <w:name w:val="List Paragraph"/>
    <w:basedOn w:val="Normal"/>
    <w:uiPriority w:val="34"/>
    <w:qFormat/>
    <w:rsid w:val="00D614C6"/>
    <w:pPr>
      <w:ind w:left="720"/>
      <w:contextualSpacing/>
    </w:pPr>
  </w:style>
  <w:style w:type="character" w:customStyle="1" w:styleId="Heading2Char">
    <w:name w:val="Heading 2 Char"/>
    <w:basedOn w:val="DefaultParagraphFont"/>
    <w:link w:val="Heading2"/>
    <w:uiPriority w:val="9"/>
    <w:rsid w:val="00DF0FD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4B2E4C"/>
    <w:rPr>
      <w:rFonts w:asciiTheme="majorHAnsi" w:eastAsiaTheme="majorEastAsia" w:hAnsiTheme="majorHAnsi" w:cstheme="majorBidi"/>
      <w:i/>
      <w:sz w:val="24"/>
      <w:szCs w:val="24"/>
    </w:rPr>
  </w:style>
  <w:style w:type="paragraph" w:styleId="TOCHeading">
    <w:name w:val="TOC Heading"/>
    <w:basedOn w:val="Heading1"/>
    <w:next w:val="Normal"/>
    <w:uiPriority w:val="39"/>
    <w:unhideWhenUsed/>
    <w:qFormat/>
    <w:rsid w:val="00D074F0"/>
    <w:pPr>
      <w:spacing w:before="240" w:after="0" w:line="259" w:lineRule="auto"/>
      <w:jc w:val="left"/>
      <w:outlineLvl w:val="9"/>
    </w:pPr>
    <w:rPr>
      <w:rFonts w:asciiTheme="majorHAnsi" w:eastAsiaTheme="majorEastAsia" w:hAnsiTheme="majorHAnsi" w:cstheme="majorBidi"/>
      <w:b w:val="0"/>
      <w:bCs w:val="0"/>
      <w:noProof w:val="0"/>
      <w:color w:val="2F5496" w:themeColor="accent1" w:themeShade="BF"/>
      <w:sz w:val="32"/>
      <w:szCs w:val="32"/>
      <w:lang w:val="en-US" w:eastAsia="en-US"/>
    </w:rPr>
  </w:style>
  <w:style w:type="paragraph" w:styleId="TOC2">
    <w:name w:val="toc 2"/>
    <w:basedOn w:val="Normal"/>
    <w:next w:val="Normal"/>
    <w:autoRedefine/>
    <w:uiPriority w:val="39"/>
    <w:unhideWhenUsed/>
    <w:rsid w:val="00D074F0"/>
    <w:pPr>
      <w:spacing w:after="100"/>
      <w:ind w:left="220"/>
    </w:pPr>
    <w:rPr>
      <w:rFonts w:eastAsiaTheme="minorEastAsia" w:cs="Times New Roman"/>
    </w:rPr>
  </w:style>
  <w:style w:type="paragraph" w:styleId="TOC1">
    <w:name w:val="toc 1"/>
    <w:basedOn w:val="Normal"/>
    <w:next w:val="Normal"/>
    <w:autoRedefine/>
    <w:uiPriority w:val="39"/>
    <w:unhideWhenUsed/>
    <w:rsid w:val="00D074F0"/>
    <w:pPr>
      <w:spacing w:after="100"/>
    </w:pPr>
    <w:rPr>
      <w:rFonts w:eastAsiaTheme="minorEastAsia" w:cs="Times New Roman"/>
    </w:rPr>
  </w:style>
  <w:style w:type="paragraph" w:styleId="TOC3">
    <w:name w:val="toc 3"/>
    <w:basedOn w:val="Normal"/>
    <w:next w:val="Normal"/>
    <w:autoRedefine/>
    <w:uiPriority w:val="39"/>
    <w:unhideWhenUsed/>
    <w:rsid w:val="00D074F0"/>
    <w:pPr>
      <w:spacing w:after="100"/>
      <w:ind w:left="440"/>
    </w:pPr>
    <w:rPr>
      <w:rFonts w:eastAsiaTheme="minorEastAsia" w:cs="Times New Roman"/>
    </w:rPr>
  </w:style>
  <w:style w:type="character" w:styleId="Hyperlink">
    <w:name w:val="Hyperlink"/>
    <w:basedOn w:val="DefaultParagraphFont"/>
    <w:uiPriority w:val="99"/>
    <w:unhideWhenUsed/>
    <w:rsid w:val="00D074F0"/>
    <w:rPr>
      <w:color w:val="0563C1" w:themeColor="hyperlink"/>
      <w:u w:val="single"/>
    </w:rPr>
  </w:style>
  <w:style w:type="character" w:styleId="IntenseReference">
    <w:name w:val="Intense Reference"/>
    <w:basedOn w:val="DefaultParagraphFont"/>
    <w:uiPriority w:val="32"/>
    <w:qFormat/>
    <w:rsid w:val="00BC7639"/>
    <w:rPr>
      <w:b/>
      <w:bCs/>
      <w:smallCaps/>
      <w:color w:val="4472C4" w:themeColor="accent1"/>
      <w:spacing w:val="5"/>
    </w:rPr>
  </w:style>
  <w:style w:type="paragraph" w:styleId="Quote">
    <w:name w:val="Quote"/>
    <w:basedOn w:val="Normal"/>
    <w:next w:val="Normal"/>
    <w:link w:val="QuoteChar"/>
    <w:uiPriority w:val="29"/>
    <w:qFormat/>
    <w:rsid w:val="00961E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61E2C"/>
    <w:rPr>
      <w:i/>
      <w:iCs/>
      <w:color w:val="404040" w:themeColor="text1" w:themeTint="BF"/>
    </w:rPr>
  </w:style>
  <w:style w:type="paragraph" w:styleId="BalloonText">
    <w:name w:val="Balloon Text"/>
    <w:basedOn w:val="Normal"/>
    <w:link w:val="BalloonTextChar"/>
    <w:uiPriority w:val="99"/>
    <w:semiHidden/>
    <w:unhideWhenUsed/>
    <w:rsid w:val="0043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FD"/>
    <w:rPr>
      <w:rFonts w:ascii="Segoe UI" w:hAnsi="Segoe UI" w:cs="Segoe UI"/>
      <w:sz w:val="18"/>
      <w:szCs w:val="18"/>
    </w:rPr>
  </w:style>
  <w:style w:type="character" w:styleId="IntenseEmphasis">
    <w:name w:val="Intense Emphasis"/>
    <w:basedOn w:val="DefaultParagraphFont"/>
    <w:uiPriority w:val="21"/>
    <w:qFormat/>
    <w:rsid w:val="00561455"/>
    <w:rPr>
      <w:i/>
      <w:iCs/>
      <w:color w:val="4472C4" w:themeColor="accent1"/>
    </w:rPr>
  </w:style>
  <w:style w:type="character" w:styleId="FollowedHyperlink">
    <w:name w:val="FollowedHyperlink"/>
    <w:basedOn w:val="DefaultParagraphFont"/>
    <w:uiPriority w:val="99"/>
    <w:semiHidden/>
    <w:unhideWhenUsed/>
    <w:rsid w:val="00DF0FD9"/>
    <w:rPr>
      <w:color w:val="954F72" w:themeColor="followedHyperlink"/>
      <w:u w:val="single"/>
    </w:rPr>
  </w:style>
  <w:style w:type="character" w:styleId="CommentReference">
    <w:name w:val="annotation reference"/>
    <w:basedOn w:val="DefaultParagraphFont"/>
    <w:uiPriority w:val="99"/>
    <w:semiHidden/>
    <w:unhideWhenUsed/>
    <w:rsid w:val="00375B46"/>
    <w:rPr>
      <w:sz w:val="16"/>
      <w:szCs w:val="16"/>
    </w:rPr>
  </w:style>
  <w:style w:type="paragraph" w:styleId="CommentText">
    <w:name w:val="annotation text"/>
    <w:basedOn w:val="Normal"/>
    <w:link w:val="CommentTextChar"/>
    <w:uiPriority w:val="99"/>
    <w:semiHidden/>
    <w:unhideWhenUsed/>
    <w:rsid w:val="00375B46"/>
    <w:pPr>
      <w:spacing w:line="240" w:lineRule="auto"/>
    </w:pPr>
    <w:rPr>
      <w:sz w:val="20"/>
      <w:szCs w:val="20"/>
    </w:rPr>
  </w:style>
  <w:style w:type="character" w:customStyle="1" w:styleId="CommentTextChar">
    <w:name w:val="Comment Text Char"/>
    <w:basedOn w:val="DefaultParagraphFont"/>
    <w:link w:val="CommentText"/>
    <w:uiPriority w:val="99"/>
    <w:semiHidden/>
    <w:rsid w:val="00375B46"/>
    <w:rPr>
      <w:sz w:val="20"/>
      <w:szCs w:val="20"/>
    </w:rPr>
  </w:style>
  <w:style w:type="paragraph" w:styleId="CommentSubject">
    <w:name w:val="annotation subject"/>
    <w:basedOn w:val="CommentText"/>
    <w:next w:val="CommentText"/>
    <w:link w:val="CommentSubjectChar"/>
    <w:uiPriority w:val="99"/>
    <w:semiHidden/>
    <w:unhideWhenUsed/>
    <w:rsid w:val="00375B46"/>
    <w:rPr>
      <w:b/>
      <w:bCs/>
    </w:rPr>
  </w:style>
  <w:style w:type="character" w:customStyle="1" w:styleId="CommentSubjectChar">
    <w:name w:val="Comment Subject Char"/>
    <w:basedOn w:val="CommentTextChar"/>
    <w:link w:val="CommentSubject"/>
    <w:uiPriority w:val="99"/>
    <w:semiHidden/>
    <w:rsid w:val="00375B46"/>
    <w:rPr>
      <w:b/>
      <w:bCs/>
      <w:sz w:val="20"/>
      <w:szCs w:val="20"/>
    </w:rPr>
  </w:style>
  <w:style w:type="character" w:customStyle="1" w:styleId="UnresolvedMention1">
    <w:name w:val="Unresolved Mention1"/>
    <w:basedOn w:val="DefaultParagraphFont"/>
    <w:uiPriority w:val="99"/>
    <w:semiHidden/>
    <w:unhideWhenUsed/>
    <w:rsid w:val="009957B3"/>
    <w:rPr>
      <w:color w:val="605E5C"/>
      <w:shd w:val="clear" w:color="auto" w:fill="E1DFDD"/>
    </w:rPr>
  </w:style>
  <w:style w:type="character" w:customStyle="1" w:styleId="Heading4Char">
    <w:name w:val="Heading 4 Char"/>
    <w:basedOn w:val="DefaultParagraphFont"/>
    <w:link w:val="Heading4"/>
    <w:uiPriority w:val="9"/>
    <w:rsid w:val="00267C3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31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96">
      <w:bodyDiv w:val="1"/>
      <w:marLeft w:val="0"/>
      <w:marRight w:val="0"/>
      <w:marTop w:val="0"/>
      <w:marBottom w:val="0"/>
      <w:divBdr>
        <w:top w:val="none" w:sz="0" w:space="0" w:color="auto"/>
        <w:left w:val="none" w:sz="0" w:space="0" w:color="auto"/>
        <w:bottom w:val="none" w:sz="0" w:space="0" w:color="auto"/>
        <w:right w:val="none" w:sz="0" w:space="0" w:color="auto"/>
      </w:divBdr>
    </w:div>
    <w:div w:id="273827995">
      <w:bodyDiv w:val="1"/>
      <w:marLeft w:val="0"/>
      <w:marRight w:val="0"/>
      <w:marTop w:val="0"/>
      <w:marBottom w:val="0"/>
      <w:divBdr>
        <w:top w:val="none" w:sz="0" w:space="0" w:color="auto"/>
        <w:left w:val="none" w:sz="0" w:space="0" w:color="auto"/>
        <w:bottom w:val="none" w:sz="0" w:space="0" w:color="auto"/>
        <w:right w:val="none" w:sz="0" w:space="0" w:color="auto"/>
      </w:divBdr>
    </w:div>
    <w:div w:id="357969866">
      <w:bodyDiv w:val="1"/>
      <w:marLeft w:val="0"/>
      <w:marRight w:val="0"/>
      <w:marTop w:val="0"/>
      <w:marBottom w:val="0"/>
      <w:divBdr>
        <w:top w:val="none" w:sz="0" w:space="0" w:color="auto"/>
        <w:left w:val="none" w:sz="0" w:space="0" w:color="auto"/>
        <w:bottom w:val="none" w:sz="0" w:space="0" w:color="auto"/>
        <w:right w:val="none" w:sz="0" w:space="0" w:color="auto"/>
      </w:divBdr>
    </w:div>
    <w:div w:id="361201440">
      <w:bodyDiv w:val="1"/>
      <w:marLeft w:val="0"/>
      <w:marRight w:val="0"/>
      <w:marTop w:val="0"/>
      <w:marBottom w:val="0"/>
      <w:divBdr>
        <w:top w:val="none" w:sz="0" w:space="0" w:color="auto"/>
        <w:left w:val="none" w:sz="0" w:space="0" w:color="auto"/>
        <w:bottom w:val="none" w:sz="0" w:space="0" w:color="auto"/>
        <w:right w:val="none" w:sz="0" w:space="0" w:color="auto"/>
      </w:divBdr>
    </w:div>
    <w:div w:id="533201491">
      <w:bodyDiv w:val="1"/>
      <w:marLeft w:val="0"/>
      <w:marRight w:val="0"/>
      <w:marTop w:val="0"/>
      <w:marBottom w:val="0"/>
      <w:divBdr>
        <w:top w:val="none" w:sz="0" w:space="0" w:color="auto"/>
        <w:left w:val="none" w:sz="0" w:space="0" w:color="auto"/>
        <w:bottom w:val="none" w:sz="0" w:space="0" w:color="auto"/>
        <w:right w:val="none" w:sz="0" w:space="0" w:color="auto"/>
      </w:divBdr>
    </w:div>
    <w:div w:id="795762230">
      <w:bodyDiv w:val="1"/>
      <w:marLeft w:val="0"/>
      <w:marRight w:val="0"/>
      <w:marTop w:val="0"/>
      <w:marBottom w:val="0"/>
      <w:divBdr>
        <w:top w:val="none" w:sz="0" w:space="0" w:color="auto"/>
        <w:left w:val="none" w:sz="0" w:space="0" w:color="auto"/>
        <w:bottom w:val="none" w:sz="0" w:space="0" w:color="auto"/>
        <w:right w:val="none" w:sz="0" w:space="0" w:color="auto"/>
      </w:divBdr>
    </w:div>
    <w:div w:id="1070540943">
      <w:bodyDiv w:val="1"/>
      <w:marLeft w:val="0"/>
      <w:marRight w:val="0"/>
      <w:marTop w:val="0"/>
      <w:marBottom w:val="0"/>
      <w:divBdr>
        <w:top w:val="none" w:sz="0" w:space="0" w:color="auto"/>
        <w:left w:val="none" w:sz="0" w:space="0" w:color="auto"/>
        <w:bottom w:val="none" w:sz="0" w:space="0" w:color="auto"/>
        <w:right w:val="none" w:sz="0" w:space="0" w:color="auto"/>
      </w:divBdr>
    </w:div>
    <w:div w:id="1081368113">
      <w:bodyDiv w:val="1"/>
      <w:marLeft w:val="0"/>
      <w:marRight w:val="0"/>
      <w:marTop w:val="0"/>
      <w:marBottom w:val="0"/>
      <w:divBdr>
        <w:top w:val="none" w:sz="0" w:space="0" w:color="auto"/>
        <w:left w:val="none" w:sz="0" w:space="0" w:color="auto"/>
        <w:bottom w:val="none" w:sz="0" w:space="0" w:color="auto"/>
        <w:right w:val="none" w:sz="0" w:space="0" w:color="auto"/>
      </w:divBdr>
    </w:div>
    <w:div w:id="1165820763">
      <w:bodyDiv w:val="1"/>
      <w:marLeft w:val="0"/>
      <w:marRight w:val="0"/>
      <w:marTop w:val="0"/>
      <w:marBottom w:val="0"/>
      <w:divBdr>
        <w:top w:val="none" w:sz="0" w:space="0" w:color="auto"/>
        <w:left w:val="none" w:sz="0" w:space="0" w:color="auto"/>
        <w:bottom w:val="none" w:sz="0" w:space="0" w:color="auto"/>
        <w:right w:val="none" w:sz="0" w:space="0" w:color="auto"/>
      </w:divBdr>
    </w:div>
    <w:div w:id="1167400766">
      <w:bodyDiv w:val="1"/>
      <w:marLeft w:val="0"/>
      <w:marRight w:val="0"/>
      <w:marTop w:val="0"/>
      <w:marBottom w:val="0"/>
      <w:divBdr>
        <w:top w:val="none" w:sz="0" w:space="0" w:color="auto"/>
        <w:left w:val="none" w:sz="0" w:space="0" w:color="auto"/>
        <w:bottom w:val="none" w:sz="0" w:space="0" w:color="auto"/>
        <w:right w:val="none" w:sz="0" w:space="0" w:color="auto"/>
      </w:divBdr>
    </w:div>
    <w:div w:id="1188763013">
      <w:bodyDiv w:val="1"/>
      <w:marLeft w:val="0"/>
      <w:marRight w:val="0"/>
      <w:marTop w:val="0"/>
      <w:marBottom w:val="0"/>
      <w:divBdr>
        <w:top w:val="none" w:sz="0" w:space="0" w:color="auto"/>
        <w:left w:val="none" w:sz="0" w:space="0" w:color="auto"/>
        <w:bottom w:val="none" w:sz="0" w:space="0" w:color="auto"/>
        <w:right w:val="none" w:sz="0" w:space="0" w:color="auto"/>
      </w:divBdr>
    </w:div>
    <w:div w:id="1266768674">
      <w:bodyDiv w:val="1"/>
      <w:marLeft w:val="0"/>
      <w:marRight w:val="0"/>
      <w:marTop w:val="0"/>
      <w:marBottom w:val="0"/>
      <w:divBdr>
        <w:top w:val="none" w:sz="0" w:space="0" w:color="auto"/>
        <w:left w:val="none" w:sz="0" w:space="0" w:color="auto"/>
        <w:bottom w:val="none" w:sz="0" w:space="0" w:color="auto"/>
        <w:right w:val="none" w:sz="0" w:space="0" w:color="auto"/>
      </w:divBdr>
    </w:div>
    <w:div w:id="1361932155">
      <w:bodyDiv w:val="1"/>
      <w:marLeft w:val="0"/>
      <w:marRight w:val="0"/>
      <w:marTop w:val="0"/>
      <w:marBottom w:val="0"/>
      <w:divBdr>
        <w:top w:val="none" w:sz="0" w:space="0" w:color="auto"/>
        <w:left w:val="none" w:sz="0" w:space="0" w:color="auto"/>
        <w:bottom w:val="none" w:sz="0" w:space="0" w:color="auto"/>
        <w:right w:val="none" w:sz="0" w:space="0" w:color="auto"/>
      </w:divBdr>
    </w:div>
    <w:div w:id="1401057815">
      <w:bodyDiv w:val="1"/>
      <w:marLeft w:val="0"/>
      <w:marRight w:val="0"/>
      <w:marTop w:val="0"/>
      <w:marBottom w:val="0"/>
      <w:divBdr>
        <w:top w:val="none" w:sz="0" w:space="0" w:color="auto"/>
        <w:left w:val="none" w:sz="0" w:space="0" w:color="auto"/>
        <w:bottom w:val="none" w:sz="0" w:space="0" w:color="auto"/>
        <w:right w:val="none" w:sz="0" w:space="0" w:color="auto"/>
      </w:divBdr>
    </w:div>
    <w:div w:id="1427656694">
      <w:bodyDiv w:val="1"/>
      <w:marLeft w:val="0"/>
      <w:marRight w:val="0"/>
      <w:marTop w:val="0"/>
      <w:marBottom w:val="0"/>
      <w:divBdr>
        <w:top w:val="none" w:sz="0" w:space="0" w:color="auto"/>
        <w:left w:val="none" w:sz="0" w:space="0" w:color="auto"/>
        <w:bottom w:val="none" w:sz="0" w:space="0" w:color="auto"/>
        <w:right w:val="none" w:sz="0" w:space="0" w:color="auto"/>
      </w:divBdr>
    </w:div>
    <w:div w:id="1453741419">
      <w:bodyDiv w:val="1"/>
      <w:marLeft w:val="0"/>
      <w:marRight w:val="0"/>
      <w:marTop w:val="0"/>
      <w:marBottom w:val="0"/>
      <w:divBdr>
        <w:top w:val="none" w:sz="0" w:space="0" w:color="auto"/>
        <w:left w:val="none" w:sz="0" w:space="0" w:color="auto"/>
        <w:bottom w:val="none" w:sz="0" w:space="0" w:color="auto"/>
        <w:right w:val="none" w:sz="0" w:space="0" w:color="auto"/>
      </w:divBdr>
    </w:div>
    <w:div w:id="1510294214">
      <w:bodyDiv w:val="1"/>
      <w:marLeft w:val="0"/>
      <w:marRight w:val="0"/>
      <w:marTop w:val="0"/>
      <w:marBottom w:val="0"/>
      <w:divBdr>
        <w:top w:val="none" w:sz="0" w:space="0" w:color="auto"/>
        <w:left w:val="none" w:sz="0" w:space="0" w:color="auto"/>
        <w:bottom w:val="none" w:sz="0" w:space="0" w:color="auto"/>
        <w:right w:val="none" w:sz="0" w:space="0" w:color="auto"/>
      </w:divBdr>
    </w:div>
    <w:div w:id="1550679297">
      <w:bodyDiv w:val="1"/>
      <w:marLeft w:val="0"/>
      <w:marRight w:val="0"/>
      <w:marTop w:val="0"/>
      <w:marBottom w:val="0"/>
      <w:divBdr>
        <w:top w:val="none" w:sz="0" w:space="0" w:color="auto"/>
        <w:left w:val="none" w:sz="0" w:space="0" w:color="auto"/>
        <w:bottom w:val="none" w:sz="0" w:space="0" w:color="auto"/>
        <w:right w:val="none" w:sz="0" w:space="0" w:color="auto"/>
      </w:divBdr>
    </w:div>
    <w:div w:id="1669868596">
      <w:bodyDiv w:val="1"/>
      <w:marLeft w:val="0"/>
      <w:marRight w:val="0"/>
      <w:marTop w:val="0"/>
      <w:marBottom w:val="0"/>
      <w:divBdr>
        <w:top w:val="none" w:sz="0" w:space="0" w:color="auto"/>
        <w:left w:val="none" w:sz="0" w:space="0" w:color="auto"/>
        <w:bottom w:val="none" w:sz="0" w:space="0" w:color="auto"/>
        <w:right w:val="none" w:sz="0" w:space="0" w:color="auto"/>
      </w:divBdr>
    </w:div>
    <w:div w:id="1821655465">
      <w:bodyDiv w:val="1"/>
      <w:marLeft w:val="0"/>
      <w:marRight w:val="0"/>
      <w:marTop w:val="0"/>
      <w:marBottom w:val="0"/>
      <w:divBdr>
        <w:top w:val="none" w:sz="0" w:space="0" w:color="auto"/>
        <w:left w:val="none" w:sz="0" w:space="0" w:color="auto"/>
        <w:bottom w:val="none" w:sz="0" w:space="0" w:color="auto"/>
        <w:right w:val="none" w:sz="0" w:space="0" w:color="auto"/>
      </w:divBdr>
    </w:div>
    <w:div w:id="1840152215">
      <w:bodyDiv w:val="1"/>
      <w:marLeft w:val="0"/>
      <w:marRight w:val="0"/>
      <w:marTop w:val="0"/>
      <w:marBottom w:val="0"/>
      <w:divBdr>
        <w:top w:val="none" w:sz="0" w:space="0" w:color="auto"/>
        <w:left w:val="none" w:sz="0" w:space="0" w:color="auto"/>
        <w:bottom w:val="none" w:sz="0" w:space="0" w:color="auto"/>
        <w:right w:val="none" w:sz="0" w:space="0" w:color="auto"/>
      </w:divBdr>
    </w:div>
    <w:div w:id="1959408998">
      <w:bodyDiv w:val="1"/>
      <w:marLeft w:val="0"/>
      <w:marRight w:val="0"/>
      <w:marTop w:val="0"/>
      <w:marBottom w:val="0"/>
      <w:divBdr>
        <w:top w:val="none" w:sz="0" w:space="0" w:color="auto"/>
        <w:left w:val="none" w:sz="0" w:space="0" w:color="auto"/>
        <w:bottom w:val="none" w:sz="0" w:space="0" w:color="auto"/>
        <w:right w:val="none" w:sz="0" w:space="0" w:color="auto"/>
      </w:divBdr>
    </w:div>
    <w:div w:id="1972244156">
      <w:bodyDiv w:val="1"/>
      <w:marLeft w:val="0"/>
      <w:marRight w:val="0"/>
      <w:marTop w:val="0"/>
      <w:marBottom w:val="0"/>
      <w:divBdr>
        <w:top w:val="none" w:sz="0" w:space="0" w:color="auto"/>
        <w:left w:val="none" w:sz="0" w:space="0" w:color="auto"/>
        <w:bottom w:val="none" w:sz="0" w:space="0" w:color="auto"/>
        <w:right w:val="none" w:sz="0" w:space="0" w:color="auto"/>
      </w:divBdr>
    </w:div>
    <w:div w:id="20403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yes.com/press/joe-debtor/how-insolvent-borrowers-use-payday-loans/" TargetMode="External"/><Relationship Id="rId18" Type="http://schemas.openxmlformats.org/officeDocument/2006/relationships/hyperlink" Target="https://www.hoyes.com/press/joe-debtor/women-and-bankruptcy/" TargetMode="External"/><Relationship Id="rId26" Type="http://schemas.openxmlformats.org/officeDocument/2006/relationships/hyperlink" Target="http://www.pewresearch.org/fact-tank/2019/01/17/where-millennials-end-and-generation-z-begin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hoyes.com/press/joe-debtor/the-student-debtor/" TargetMode="External"/><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hoyes.com/press/homeowner-bankruptcy-index/" TargetMode="External"/><Relationship Id="rId20" Type="http://schemas.openxmlformats.org/officeDocument/2006/relationships/image" Target="media/image8.png"/><Relationship Id="rId29" Type="http://schemas.openxmlformats.org/officeDocument/2006/relationships/hyperlink" Target="https://www150.statcan.gc.ca/t1/tbl1/en/cv.action?pid=171000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oyes.com/press/consumer-insolvency-statistic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www.hoyes.com/blog/what-is-the-maximum-amount-of-interest-i-can-be-charged-in-ontario/"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hoyes.com/consumer-debt-bankruptcy-ontario-statistics/" TargetMode="External"/><Relationship Id="rId27" Type="http://schemas.openxmlformats.org/officeDocument/2006/relationships/hyperlink" Target="https://www150.statcan.gc.ca/t1/tbl1/en/tv.action?pid=14100018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Sta16</b:Tag>
    <b:SourceType>InternetSite</b:SourceType>
    <b:Guid>{155C8674-202E-4A0B-9766-B3E0791EA388}</b:Guid>
    <b:Title>CANSIM - 378-0123 - National Balance Sheet Accounts, financial indicators, households and non-profit institutions serving households</b:Title>
    <b:Year>2016</b:Year>
    <b:Author>
      <b:Author>
        <b:NameList>
          <b:Person>
            <b:Last>Canada</b:Last>
            <b:First>Statistics</b:First>
          </b:Person>
        </b:NameList>
      </b:Author>
    </b:Author>
    <b:InternetSiteTitle>Statistics Canada</b:InternetSiteTitle>
    <b:Month>12</b:Month>
    <b:Day>14</b:Day>
    <b:URL>http://www5.statcan.gc.ca/cansim/a26?lang=eng&amp;retrLang=eng&amp;id=3780123&amp;&amp;pattern=&amp;stByVal=1&amp;p1=1&amp;p2=-1&amp;tabMode=dataTable&amp;csid=</b:URL>
    <b:RefOrder>1</b:RefOrder>
  </b:Source>
</b:Sources>
</file>

<file path=customXml/itemProps1.xml><?xml version="1.0" encoding="utf-8"?>
<ds:datastoreItem xmlns:ds="http://schemas.openxmlformats.org/officeDocument/2006/customXml" ds:itemID="{F7913877-EF05-4EEE-9574-AEF2728D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17</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Hoyes</dc:creator>
  <cp:keywords/>
  <dc:description/>
  <cp:lastModifiedBy>Sharon Hoyes</cp:lastModifiedBy>
  <cp:revision>8</cp:revision>
  <cp:lastPrinted>2019-03-16T15:18:00Z</cp:lastPrinted>
  <dcterms:created xsi:type="dcterms:W3CDTF">2019-03-15T12:41:00Z</dcterms:created>
  <dcterms:modified xsi:type="dcterms:W3CDTF">2020-02-10T03:03:00Z</dcterms:modified>
</cp:coreProperties>
</file>